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1CC0F">
      <w:pPr>
        <w:spacing w:line="580" w:lineRule="atLeast"/>
        <w:ind w:firstLine="560"/>
        <w:jc w:val="center"/>
        <w:rPr>
          <w:rFonts w:hint="eastAsia" w:ascii="方正仿宋_GB2312" w:hAnsi="方正仿宋_GB2312" w:eastAsia="方正仿宋_GB2312" w:cs="方正仿宋_GB2312"/>
          <w:sz w:val="28"/>
          <w:szCs w:val="28"/>
        </w:rPr>
      </w:pPr>
      <w:bookmarkStart w:id="0" w:name="_Toc11336"/>
      <w:bookmarkStart w:id="1" w:name="_Toc128149845"/>
      <w:bookmarkStart w:id="2" w:name="_Toc10817"/>
      <w:bookmarkStart w:id="3" w:name="_Toc132398710"/>
      <w:bookmarkStart w:id="4" w:name="_Toc128147351"/>
      <w:bookmarkStart w:id="5" w:name="_Toc128149621"/>
      <w:bookmarkStart w:id="6" w:name="_Toc27166"/>
      <w:bookmarkStart w:id="7" w:name="_Toc23299"/>
      <w:bookmarkStart w:id="8" w:name="_Toc128397373"/>
      <w:bookmarkStart w:id="9" w:name="_Toc2775"/>
      <w:bookmarkStart w:id="10" w:name="_Toc130887374"/>
      <w:bookmarkStart w:id="11" w:name="_Toc130886520"/>
      <w:bookmarkStart w:id="12" w:name="_Toc127547642"/>
      <w:bookmarkStart w:id="13" w:name="_Toc128147494"/>
      <w:r>
        <w:rPr>
          <w:rFonts w:hint="eastAsia" w:ascii="黑体" w:hAnsi="黑体" w:eastAsia="黑体" w:cs="黑体"/>
          <w:sz w:val="28"/>
          <w:szCs w:val="28"/>
        </w:rPr>
        <w:t>一、商务要求</w:t>
      </w:r>
      <w:bookmarkEnd w:id="0"/>
      <w:bookmarkEnd w:id="1"/>
      <w:bookmarkEnd w:id="2"/>
      <w:bookmarkEnd w:id="3"/>
      <w:bookmarkEnd w:id="4"/>
      <w:bookmarkEnd w:id="5"/>
      <w:bookmarkEnd w:id="6"/>
      <w:bookmarkEnd w:id="7"/>
      <w:bookmarkEnd w:id="8"/>
      <w:bookmarkEnd w:id="9"/>
      <w:bookmarkEnd w:id="10"/>
      <w:bookmarkEnd w:id="11"/>
      <w:bookmarkEnd w:id="12"/>
      <w:bookmarkEnd w:id="13"/>
    </w:p>
    <w:p w14:paraId="3486128D">
      <w:pPr>
        <w:pStyle w:val="17"/>
        <w:spacing w:line="580" w:lineRule="atLeast"/>
        <w:ind w:firstLine="480"/>
        <w:rPr>
          <w:rFonts w:hint="eastAsia" w:hAnsi="宋体"/>
        </w:rPr>
      </w:pPr>
      <w:r>
        <w:rPr>
          <w:rFonts w:ascii="宋体" w:hAnsi="宋体"/>
          <w:lang w:val="zh-CN"/>
        </w:rPr>
        <w:t>★</w:t>
      </w:r>
      <w:r>
        <w:rPr>
          <w:rFonts w:hAnsi="宋体"/>
          <w:lang w:val="zh-CN"/>
        </w:rPr>
        <w:t>（一）</w:t>
      </w:r>
      <w:r>
        <w:rPr>
          <w:rFonts w:hAnsi="宋体"/>
        </w:rPr>
        <w:t>交</w:t>
      </w:r>
      <w:r>
        <w:rPr>
          <w:rFonts w:hint="eastAsia" w:hAnsi="宋体"/>
        </w:rPr>
        <w:t>付（服务）</w:t>
      </w:r>
      <w:r>
        <w:rPr>
          <w:rFonts w:hAnsi="宋体"/>
        </w:rPr>
        <w:t>时间、地点</w:t>
      </w:r>
      <w:r>
        <w:rPr>
          <w:rFonts w:hint="eastAsia" w:hAnsi="宋体"/>
        </w:rPr>
        <w:t>和方式</w:t>
      </w:r>
    </w:p>
    <w:p w14:paraId="1724B5FD">
      <w:pPr>
        <w:pStyle w:val="17"/>
        <w:spacing w:line="580" w:lineRule="atLeast"/>
        <w:ind w:firstLine="480"/>
        <w:rPr>
          <w:rFonts w:hint="eastAsia" w:ascii="宋体" w:hAnsi="宋体" w:cs="宋体"/>
        </w:rPr>
      </w:pPr>
      <w:r>
        <w:rPr>
          <w:rFonts w:ascii="宋体" w:hAnsi="宋体" w:cs="宋体"/>
        </w:rPr>
        <w:t>1.</w:t>
      </w:r>
      <w:r>
        <w:rPr>
          <w:rFonts w:hint="eastAsia" w:ascii="宋体" w:hAnsi="宋体" w:cs="宋体"/>
        </w:rPr>
        <w:t>交付时间</w:t>
      </w:r>
      <w:r>
        <w:rPr>
          <w:rFonts w:hint="eastAsia" w:hAnsi="宋体"/>
        </w:rPr>
        <w:t>：</w:t>
      </w:r>
      <w:r>
        <w:rPr>
          <w:rFonts w:hint="eastAsia" w:hAnsi="宋体"/>
          <w:u w:val="single"/>
        </w:rPr>
        <w:t>合同签订后2025年12月10日以前完成</w:t>
      </w:r>
      <w:r>
        <w:rPr>
          <w:rFonts w:hint="eastAsia" w:hAnsi="宋体"/>
        </w:rPr>
        <w:t>。</w:t>
      </w:r>
    </w:p>
    <w:p w14:paraId="383DAB94">
      <w:pPr>
        <w:pStyle w:val="17"/>
        <w:spacing w:line="580" w:lineRule="atLeast"/>
        <w:ind w:firstLine="480"/>
        <w:rPr>
          <w:rFonts w:hint="eastAsia" w:hAnsi="宋体"/>
        </w:rPr>
      </w:pPr>
      <w:r>
        <w:rPr>
          <w:rFonts w:ascii="宋体" w:hAnsi="宋体" w:cs="宋体"/>
        </w:rPr>
        <w:t>2.</w:t>
      </w:r>
      <w:r>
        <w:rPr>
          <w:rFonts w:hint="eastAsia" w:ascii="宋体" w:hAnsi="宋体" w:cs="宋体"/>
        </w:rPr>
        <w:t>交付</w:t>
      </w:r>
      <w:r>
        <w:rPr>
          <w:rFonts w:hint="eastAsia" w:hAnsi="宋体"/>
        </w:rPr>
        <w:t>地点：</w:t>
      </w:r>
      <w:r>
        <w:rPr>
          <w:u w:val="single"/>
        </w:rPr>
        <w:t>中国水利水电科学研究院水资源研究所指定场所</w:t>
      </w:r>
      <w:r>
        <w:rPr>
          <w:rFonts w:hAnsi="宋体"/>
          <w:u w:val="single"/>
        </w:rPr>
        <w:t xml:space="preserve"> </w:t>
      </w:r>
      <w:r>
        <w:rPr>
          <w:rFonts w:hint="eastAsia" w:hAnsi="宋体"/>
        </w:rPr>
        <w:t>。</w:t>
      </w:r>
    </w:p>
    <w:p w14:paraId="02343BFA">
      <w:pPr>
        <w:pStyle w:val="17"/>
        <w:spacing w:line="580" w:lineRule="atLeast"/>
        <w:ind w:firstLine="480"/>
        <w:rPr>
          <w:rFonts w:hint="eastAsia" w:ascii="宋体" w:hAnsi="宋体" w:cs="宋体"/>
        </w:rPr>
      </w:pPr>
      <w:r>
        <w:rPr>
          <w:rFonts w:hint="eastAsia" w:ascii="宋体" w:hAnsi="宋体" w:cs="宋体"/>
        </w:rPr>
        <w:t>3</w:t>
      </w:r>
      <w:r>
        <w:rPr>
          <w:rFonts w:ascii="宋体" w:hAnsi="宋体" w:cs="宋体"/>
        </w:rPr>
        <w:t>.服务</w:t>
      </w:r>
      <w:r>
        <w:rPr>
          <w:rFonts w:hint="eastAsia" w:ascii="宋体" w:hAnsi="宋体" w:cs="宋体"/>
        </w:rPr>
        <w:t>方式：</w:t>
      </w:r>
      <w:r>
        <w:rPr>
          <w:rFonts w:hint="eastAsia" w:ascii="宋体" w:hAnsi="宋体" w:cs="宋体"/>
          <w:u w:val="single"/>
        </w:rPr>
        <w:t>水文水资源监测数据智能分析算法研发</w:t>
      </w:r>
      <w:r>
        <w:rPr>
          <w:rFonts w:hint="eastAsia" w:ascii="宋体" w:hAnsi="宋体" w:cs="宋体"/>
        </w:rPr>
        <w:t>。</w:t>
      </w:r>
    </w:p>
    <w:p w14:paraId="71D674F0">
      <w:pPr>
        <w:pStyle w:val="17"/>
        <w:spacing w:line="580" w:lineRule="atLeast"/>
        <w:ind w:firstLine="480"/>
        <w:rPr>
          <w:rFonts w:hint="eastAsia" w:hAnsi="宋体"/>
        </w:rPr>
      </w:pPr>
      <w:r>
        <w:rPr>
          <w:rFonts w:hint="eastAsia" w:hAnsi="宋体"/>
        </w:rPr>
        <w:t>（二）售后服务</w:t>
      </w:r>
    </w:p>
    <w:p w14:paraId="210ED9B7">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1.本项目质保期从验收之日起</w:t>
      </w:r>
      <w:r>
        <w:rPr>
          <w:rFonts w:asciiTheme="minorEastAsia" w:hAnsiTheme="minorEastAsia" w:eastAsiaTheme="minorEastAsia"/>
          <w:sz w:val="24"/>
        </w:rPr>
        <w:t>12</w:t>
      </w:r>
      <w:r>
        <w:rPr>
          <w:rFonts w:hint="eastAsia" w:asciiTheme="minorEastAsia" w:hAnsiTheme="minorEastAsia" w:eastAsiaTheme="minorEastAsia"/>
          <w:sz w:val="24"/>
        </w:rPr>
        <w:t>个月。</w:t>
      </w:r>
    </w:p>
    <w:p w14:paraId="6EE94AD2">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在质保期内，乙方提供技术指导、故障恢复等，提供7*24小时售后服务热线及现场技术支持，在接到用户服务要求后1小时立即做出回应，远程指导排除故障，不能远程解决的故障问题，技术人员2小时内到现场解决；乙方接到服务通知后，即使对发生的故障与质量保证的有关条款存有异议，也应在甲方要求的时间内采取措施解决。</w:t>
      </w:r>
    </w:p>
    <w:p w14:paraId="0FF94737">
      <w:pPr>
        <w:pStyle w:val="17"/>
        <w:spacing w:line="580" w:lineRule="atLeast"/>
        <w:ind w:firstLine="560"/>
        <w:rPr>
          <w:sz w:val="28"/>
          <w:szCs w:val="28"/>
        </w:rPr>
      </w:pPr>
      <w:r>
        <w:rPr>
          <w:rFonts w:ascii="宋体" w:hAnsi="宋体"/>
          <w:sz w:val="28"/>
          <w:szCs w:val="28"/>
          <w:lang w:val="zh-CN"/>
        </w:rPr>
        <w:t>★</w:t>
      </w:r>
      <w:r>
        <w:rPr>
          <w:rFonts w:hAnsi="宋体"/>
          <w:lang w:val="zh-CN"/>
        </w:rPr>
        <w:t>（</w:t>
      </w:r>
      <w:r>
        <w:rPr>
          <w:rFonts w:hint="eastAsia" w:hAnsi="宋体"/>
          <w:lang w:val="zh-CN"/>
        </w:rPr>
        <w:t>三</w:t>
      </w:r>
      <w:r>
        <w:rPr>
          <w:rFonts w:hAnsi="宋体"/>
          <w:lang w:val="zh-CN"/>
        </w:rPr>
        <w:t>）</w:t>
      </w:r>
      <w:r>
        <w:rPr>
          <w:rFonts w:hint="eastAsia" w:hAnsi="宋体"/>
          <w:lang w:val="zh-CN"/>
        </w:rPr>
        <w:t>技术情报和资料的保密</w:t>
      </w:r>
    </w:p>
    <w:p w14:paraId="7AA146D2">
      <w:pPr>
        <w:spacing w:line="580" w:lineRule="atLeast"/>
        <w:ind w:firstLine="480" w:firstLineChars="200"/>
        <w:rPr>
          <w:rFonts w:hint="eastAsia" w:asciiTheme="minorEastAsia" w:hAnsiTheme="minorEastAsia" w:eastAsiaTheme="minorEastAsia"/>
          <w:sz w:val="24"/>
        </w:rPr>
      </w:pPr>
      <w:bookmarkStart w:id="14" w:name="_Hlk130632209"/>
      <w:r>
        <w:rPr>
          <w:rFonts w:hint="eastAsia" w:asciiTheme="minorEastAsia" w:hAnsiTheme="minorEastAsia" w:eastAsiaTheme="minorEastAsia"/>
          <w:sz w:val="24"/>
        </w:rPr>
        <w:t>甲乙双方应在合同有效期内及合同期限结束后5年内对项目情况进行保密，不得以任何方式向第三方披露。如果双方中的任何一方有意或者无意泄露保密资料，造成对方损失的，承担赔偿对方损失的责任，但以下情况的披露除外。</w:t>
      </w:r>
    </w:p>
    <w:p w14:paraId="76F26734">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1.当披露予第三方时已经是或者非因泄密方的过失而为公众所知的资料。</w:t>
      </w:r>
    </w:p>
    <w:p w14:paraId="67824AFC">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法律要求披露资料，或任何监管机构要求披露资料，或按有管辖权的法庭发出的命令披露资料，但被要求披露的一方，应当事前通知对方任何该等披露或建议披露及合理可行地使双方寻求行政及法律救济的机会以维持对该等资料保密。</w:t>
      </w:r>
    </w:p>
    <w:p w14:paraId="14BAD067">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3.基于双方书面同意而向第三方所披露的资料和信息。</w:t>
      </w:r>
    </w:p>
    <w:bookmarkEnd w:id="14"/>
    <w:p w14:paraId="0D3B30F2">
      <w:pPr>
        <w:pStyle w:val="17"/>
        <w:spacing w:line="580" w:lineRule="atLeast"/>
        <w:ind w:firstLine="480"/>
        <w:rPr>
          <w:rFonts w:hint="eastAsia" w:ascii="宋体" w:hAnsi="宋体"/>
          <w:lang w:val="zh-CN"/>
        </w:rPr>
      </w:pPr>
      <w:r>
        <w:rPr>
          <w:rFonts w:hint="eastAsia" w:ascii="宋体" w:hAnsi="宋体"/>
          <w:lang w:val="zh-CN"/>
        </w:rPr>
        <w:t>★（四）付款条件</w:t>
      </w:r>
    </w:p>
    <w:p w14:paraId="09313305">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自本合同签订生效之日起10日内，甲方向乙方支付合同总金额的40%预付款；乙方完成算法研发并集成至甲方既有或定制软件平台后，甲方在10日内向乙方支付合同总金额的50%；乙方完成项目交付且通过甲方验收合格后，乙方收集发票、验收报告等资料，提交甲方办理结算手续，甲方在10日内向乙方支付合同总金额的10%。</w:t>
      </w:r>
    </w:p>
    <w:p w14:paraId="71B827B8">
      <w:pPr>
        <w:pStyle w:val="17"/>
        <w:spacing w:line="580" w:lineRule="atLeast"/>
        <w:ind w:firstLine="480"/>
        <w:rPr>
          <w:rFonts w:hint="eastAsia" w:asciiTheme="minorEastAsia" w:hAnsiTheme="minorEastAsia" w:eastAsiaTheme="minorEastAsia"/>
        </w:rPr>
      </w:pPr>
      <w:r>
        <w:rPr>
          <w:rFonts w:hint="eastAsia" w:asciiTheme="minorEastAsia" w:hAnsiTheme="minorEastAsia" w:eastAsiaTheme="minorEastAsia"/>
          <w:lang w:val="zh-CN"/>
        </w:rPr>
        <w:t>★（</w:t>
      </w:r>
      <w:r>
        <w:rPr>
          <w:rFonts w:hint="eastAsia" w:asciiTheme="minorEastAsia" w:hAnsiTheme="minorEastAsia" w:eastAsiaTheme="minorEastAsia"/>
        </w:rPr>
        <w:t>五</w:t>
      </w:r>
      <w:r>
        <w:rPr>
          <w:rFonts w:hint="eastAsia" w:asciiTheme="minorEastAsia" w:hAnsiTheme="minorEastAsia" w:eastAsiaTheme="minorEastAsia"/>
          <w:lang w:val="zh-CN"/>
        </w:rPr>
        <w:t>）质量保证</w:t>
      </w:r>
    </w:p>
    <w:p w14:paraId="27EAF26B">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1.乙方保证项目成果通过甲方组织的评审和验收。</w:t>
      </w:r>
    </w:p>
    <w:p w14:paraId="20957B25">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2.乙方保证：所提供的技术文件是最新的、完备的、清晰的、正确的，并且符合合同及其附件的规定以及甲方的要求。</w:t>
      </w:r>
    </w:p>
    <w:p w14:paraId="0EC1FC06">
      <w:pPr>
        <w:spacing w:line="580" w:lineRule="atLeas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3.乙方保证加工</w:t>
      </w:r>
      <w:r>
        <w:rPr>
          <w:rFonts w:asciiTheme="minorEastAsia" w:hAnsiTheme="minorEastAsia" w:eastAsiaTheme="minorEastAsia"/>
          <w:sz w:val="24"/>
        </w:rPr>
        <w:t>成品文档</w:t>
      </w:r>
      <w:r>
        <w:rPr>
          <w:rFonts w:hint="eastAsia" w:asciiTheme="minorEastAsia" w:hAnsiTheme="minorEastAsia" w:eastAsiaTheme="minorEastAsia"/>
          <w:sz w:val="24"/>
        </w:rPr>
        <w:t>符合相关国际标准；如无国际标准,则保证其符合行业惯常标准。</w:t>
      </w:r>
    </w:p>
    <w:p w14:paraId="7BFC9FF2">
      <w:pPr>
        <w:spacing w:line="580" w:lineRule="atLeast"/>
      </w:pPr>
      <w:bookmarkStart w:id="15" w:name="_Toc127547643"/>
      <w:bookmarkStart w:id="16" w:name="_Toc132398711"/>
      <w:bookmarkStart w:id="17" w:name="_Toc128147495"/>
      <w:bookmarkStart w:id="18" w:name="_Toc128147352"/>
      <w:bookmarkStart w:id="19" w:name="_Toc128149622"/>
      <w:bookmarkStart w:id="20" w:name="_Toc130886521"/>
      <w:bookmarkStart w:id="21" w:name="_Toc130887375"/>
      <w:bookmarkStart w:id="22" w:name="_Toc128149846"/>
      <w:bookmarkStart w:id="23" w:name="_Toc128397374"/>
    </w:p>
    <w:p w14:paraId="04773CFD">
      <w:pPr>
        <w:spacing w:line="580" w:lineRule="atLeast"/>
        <w:rPr>
          <w:rFonts w:hint="eastAsia" w:ascii="黑体" w:hAnsi="黑体" w:eastAsia="黑体" w:cs="黑体"/>
        </w:rPr>
      </w:pPr>
      <w:r>
        <w:rPr>
          <w:rFonts w:hint="eastAsia" w:ascii="黑体" w:hAnsi="黑体" w:eastAsia="黑体" w:cs="黑体"/>
        </w:rPr>
        <w:br w:type="page"/>
      </w:r>
    </w:p>
    <w:p w14:paraId="67568D95">
      <w:pPr>
        <w:spacing w:line="580" w:lineRule="atLeast"/>
        <w:ind w:firstLine="560"/>
        <w:jc w:val="center"/>
        <w:rPr>
          <w:rFonts w:hint="eastAsia" w:ascii="黑体" w:hAnsi="黑体" w:eastAsia="黑体" w:cs="黑体"/>
          <w:sz w:val="28"/>
          <w:szCs w:val="28"/>
        </w:rPr>
      </w:pPr>
      <w:r>
        <w:rPr>
          <w:rFonts w:hint="eastAsia" w:ascii="黑体" w:hAnsi="黑体" w:eastAsia="黑体" w:cs="黑体"/>
          <w:sz w:val="28"/>
          <w:szCs w:val="28"/>
        </w:rPr>
        <w:t>二、</w:t>
      </w:r>
      <w:bookmarkEnd w:id="15"/>
      <w:bookmarkEnd w:id="16"/>
      <w:bookmarkEnd w:id="17"/>
      <w:bookmarkEnd w:id="18"/>
      <w:bookmarkEnd w:id="19"/>
      <w:bookmarkEnd w:id="20"/>
      <w:bookmarkEnd w:id="21"/>
      <w:bookmarkEnd w:id="22"/>
      <w:bookmarkEnd w:id="23"/>
      <w:r>
        <w:rPr>
          <w:rFonts w:hint="eastAsia" w:ascii="黑体" w:hAnsi="黑体" w:eastAsia="黑体" w:cs="黑体"/>
          <w:sz w:val="28"/>
          <w:szCs w:val="28"/>
        </w:rPr>
        <w:t>技术要求</w:t>
      </w:r>
    </w:p>
    <w:p w14:paraId="4B28AAE6">
      <w:pPr>
        <w:pStyle w:val="18"/>
        <w:spacing w:line="580" w:lineRule="atLeast"/>
        <w:ind w:firstLine="482"/>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（一）项目名称</w:t>
      </w:r>
    </w:p>
    <w:p w14:paraId="23A141C9">
      <w:p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水文水资源监测数据智能分析算法研发。</w:t>
      </w:r>
    </w:p>
    <w:p w14:paraId="3D79139E">
      <w:pPr>
        <w:pStyle w:val="18"/>
        <w:spacing w:line="580" w:lineRule="atLeast"/>
        <w:ind w:firstLine="482"/>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（二）建设周期</w:t>
      </w:r>
    </w:p>
    <w:p w14:paraId="68CBB648">
      <w:p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合同签订后2025年12月10日以前完成</w:t>
      </w:r>
      <w:r>
        <w:rPr>
          <w:rFonts w:hint="eastAsia" w:asciiTheme="minorEastAsia" w:hAnsiTheme="minorEastAsia" w:eastAsiaTheme="minorEastAsia" w:cstheme="minorEastAsia"/>
          <w:sz w:val="24"/>
        </w:rPr>
        <w:t>。</w:t>
      </w:r>
    </w:p>
    <w:p w14:paraId="541FE773">
      <w:pPr>
        <w:pStyle w:val="18"/>
        <w:spacing w:line="580" w:lineRule="atLeast"/>
        <w:ind w:firstLine="482"/>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（三）建设目标</w:t>
      </w:r>
    </w:p>
    <w:p w14:paraId="77AB5DE0">
      <w:p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以水文水资源监测数据为依托，建设一套可接入业务软件平台的智能分析算法体系，涵盖异常值识别、缺失值处理、数据特征提取及时间序列预测等核心算法模块，提升基础数据的利用效率。</w:t>
      </w:r>
    </w:p>
    <w:p w14:paraId="3828A59D">
      <w:pPr>
        <w:pStyle w:val="18"/>
        <w:spacing w:line="580" w:lineRule="atLeast"/>
        <w:ind w:firstLine="482"/>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（四）技术指标要求</w:t>
      </w:r>
    </w:p>
    <w:p w14:paraId="0D9AFCF1">
      <w:pPr>
        <w:spacing w:line="580" w:lineRule="atLeast"/>
        <w:ind w:firstLine="482" w:firstLineChars="200"/>
        <w:outlineLvl w:val="1"/>
        <w:rPr>
          <w:rFonts w:hint="eastAsia" w:asciiTheme="minorEastAsia" w:hAnsiTheme="minorEastAsia" w:eastAsiaTheme="minorEastAsia" w:cstheme="minorEastAsia"/>
          <w:b/>
          <w:bCs/>
          <w:sz w:val="24"/>
          <w:lang w:val="zh-CN"/>
        </w:rPr>
      </w:pPr>
      <w:bookmarkStart w:id="24" w:name="_Toc68387624"/>
      <w:r>
        <w:rPr>
          <w:rFonts w:hint="eastAsia" w:asciiTheme="minorEastAsia" w:hAnsiTheme="minorEastAsia" w:eastAsiaTheme="minorEastAsia" w:cstheme="minorEastAsia"/>
          <w:b/>
          <w:bCs/>
          <w:sz w:val="24"/>
        </w:rPr>
        <w:t>1、</w:t>
      </w:r>
      <w:r>
        <w:rPr>
          <w:rFonts w:hint="eastAsia" w:asciiTheme="minorEastAsia" w:hAnsiTheme="minorEastAsia" w:eastAsiaTheme="minorEastAsia" w:cstheme="minorEastAsia"/>
          <w:b/>
          <w:bCs/>
          <w:sz w:val="24"/>
          <w:lang w:val="zh-CN"/>
        </w:rPr>
        <w:t>基本要求</w:t>
      </w:r>
      <w:bookmarkEnd w:id="24"/>
    </w:p>
    <w:p w14:paraId="20E663AF">
      <w:pPr>
        <w:spacing w:line="580" w:lineRule="atLeast"/>
        <w:ind w:firstLine="480" w:firstLineChars="200"/>
        <w:rPr>
          <w:lang w:val="zh-CN"/>
        </w:rPr>
      </w:pPr>
      <w:r>
        <w:rPr>
          <w:rFonts w:hint="eastAsia" w:asciiTheme="minorEastAsia" w:hAnsiTheme="minorEastAsia" w:eastAsiaTheme="minorEastAsia" w:cstheme="minorEastAsia"/>
          <w:sz w:val="24"/>
          <w:lang w:val="zh-CN"/>
        </w:rPr>
        <w:t>（1）应符合国家及行业相关标准规范，包括但不限于《</w:t>
      </w:r>
      <w:r>
        <w:rPr>
          <w:rFonts w:hint="eastAsia" w:asciiTheme="minorEastAsia" w:hAnsiTheme="minorEastAsia" w:eastAsiaTheme="minorEastAsia" w:cstheme="minorEastAsia"/>
          <w:sz w:val="24"/>
        </w:rPr>
        <w:t>SL/T 247-2020 水文资料整编规范</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GBT 44109-2024 信息技术 大数据 数据治理实施指南</w:t>
      </w:r>
      <w:r>
        <w:rPr>
          <w:rFonts w:hint="eastAsia" w:asciiTheme="minorEastAsia" w:hAnsiTheme="minorEastAsia" w:eastAsiaTheme="minorEastAsia" w:cstheme="minorEastAsia"/>
          <w:sz w:val="24"/>
          <w:lang w:val="zh-CN"/>
        </w:rPr>
        <w:t>》等系列规范，同时应按照甲方的业务需求完成算法设计与开发。</w:t>
      </w:r>
    </w:p>
    <w:p w14:paraId="789DCCBB">
      <w:pPr>
        <w:spacing w:line="580" w:lineRule="atLeas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）算法研发与部署应在甲方指定的软硬件环境中进行，研发过程须满足甲方安全审查、代码托管和系统接入要求，确保算法成果可在平台内稳定运行。</w:t>
      </w:r>
    </w:p>
    <w:p w14:paraId="4063E657">
      <w:pPr>
        <w:spacing w:line="580" w:lineRule="atLeast"/>
        <w:ind w:firstLine="482"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2、</w:t>
      </w:r>
      <w:r>
        <w:rPr>
          <w:rFonts w:hint="eastAsia" w:asciiTheme="minorEastAsia" w:hAnsiTheme="minorEastAsia" w:eastAsiaTheme="minorEastAsia" w:cstheme="minorEastAsia"/>
          <w:b/>
          <w:bCs/>
          <w:sz w:val="24"/>
          <w:lang w:val="zh-CN"/>
        </w:rPr>
        <w:t>建设内容</w:t>
      </w:r>
      <w:bookmarkStart w:id="25" w:name="_Toc138230634"/>
    </w:p>
    <w:p w14:paraId="1538BDFF">
      <w:pPr>
        <w:spacing w:line="580" w:lineRule="atLeast"/>
        <w:ind w:firstLine="480" w:firstLineChars="200"/>
      </w:pPr>
      <w:r>
        <w:rPr>
          <w:rFonts w:hint="eastAsia" w:asciiTheme="minorEastAsia" w:hAnsiTheme="minorEastAsia" w:eastAsiaTheme="minorEastAsia" w:cstheme="minorEastAsia"/>
          <w:sz w:val="24"/>
        </w:rPr>
        <w:t>（1）算法体系建设</w:t>
      </w:r>
    </w:p>
    <w:p w14:paraId="426E6E98">
      <w:pPr>
        <w:spacing w:line="580" w:lineRule="atLeast"/>
        <w:ind w:firstLine="480" w:firstLineChars="200"/>
      </w:pPr>
      <w:r>
        <w:rPr>
          <w:rFonts w:hint="eastAsia" w:asciiTheme="minorEastAsia" w:hAnsiTheme="minorEastAsia" w:eastAsiaTheme="minorEastAsia" w:cstheme="minorEastAsia"/>
          <w:sz w:val="24"/>
        </w:rPr>
        <w:t>构建涵盖数据质量控制（异常值识别、缺失值处理）、数据特征提取（中心位置、分散程度和图形特征）及时间序列预测等核心算法模块；各模块应具备独立运行与模块化集成功能，可接入业务平台。</w:t>
      </w:r>
    </w:p>
    <w:p w14:paraId="7CE4F2A5">
      <w:p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（2）算法性能指标</w:t>
      </w:r>
    </w:p>
    <w:p w14:paraId="798D9253">
      <w:pPr>
        <w:numPr>
          <w:ilvl w:val="0"/>
          <w:numId w:val="1"/>
        </w:num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数据异常识别准确率：不低于90%；</w:t>
      </w:r>
    </w:p>
    <w:p w14:paraId="6DCC02C3">
      <w:pPr>
        <w:numPr>
          <w:ilvl w:val="0"/>
          <w:numId w:val="1"/>
        </w:num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缺测值插补误差（RMSE）：不高于30%；</w:t>
      </w:r>
    </w:p>
    <w:p w14:paraId="25BE5071">
      <w:pPr>
        <w:numPr>
          <w:ilvl w:val="0"/>
          <w:numId w:val="1"/>
        </w:num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时间序列预测精度（Nash系数或R2）：不低于0.7；</w:t>
      </w:r>
    </w:p>
    <w:p w14:paraId="7C489278">
      <w:pPr>
        <w:numPr>
          <w:ilvl w:val="0"/>
          <w:numId w:val="1"/>
        </w:num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算法可复现性：同一输入条件下输出一致性100%；</w:t>
      </w:r>
    </w:p>
    <w:p w14:paraId="027DD9C9">
      <w:pPr>
        <w:numPr>
          <w:ilvl w:val="0"/>
          <w:numId w:val="1"/>
        </w:numPr>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模块接口兼容性：与甲方平台数据接口兼容率 ≥ 99%。</w:t>
      </w:r>
    </w:p>
    <w:p w14:paraId="66740D16">
      <w:pPr>
        <w:pStyle w:val="18"/>
        <w:spacing w:line="580" w:lineRule="atLeast"/>
        <w:ind w:firstLine="482"/>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（五）技术设计</w:t>
      </w:r>
      <w:bookmarkEnd w:id="25"/>
      <w:r>
        <w:rPr>
          <w:rFonts w:hint="eastAsia" w:asciiTheme="minorEastAsia" w:hAnsiTheme="minorEastAsia" w:eastAsiaTheme="minorEastAsia" w:cstheme="minorEastAsia"/>
          <w:b/>
          <w:bCs/>
          <w:sz w:val="24"/>
          <w:szCs w:val="24"/>
        </w:rPr>
        <w:t>要求</w:t>
      </w:r>
    </w:p>
    <w:p w14:paraId="4FEE43C0">
      <w:pPr>
        <w:spacing w:line="580" w:lineRule="atLeast"/>
        <w:ind w:firstLine="482" w:firstLineChars="200"/>
        <w:outlineLvl w:val="1"/>
        <w:rPr>
          <w:rFonts w:hint="eastAsia" w:asciiTheme="minorEastAsia" w:hAnsiTheme="minorEastAsia" w:eastAsiaTheme="minorEastAsia" w:cstheme="minorEastAsia"/>
          <w:b/>
          <w:bCs/>
          <w:sz w:val="24"/>
        </w:rPr>
      </w:pPr>
      <w:bookmarkStart w:id="26" w:name="_Toc138230635"/>
      <w:r>
        <w:rPr>
          <w:rFonts w:hint="eastAsia" w:asciiTheme="minorEastAsia" w:hAnsiTheme="minorEastAsia" w:eastAsiaTheme="minorEastAsia" w:cstheme="minorEastAsia"/>
          <w:b/>
          <w:bCs/>
          <w:sz w:val="24"/>
        </w:rPr>
        <w:t>1、技术流程设计</w:t>
      </w:r>
      <w:bookmarkEnd w:id="26"/>
    </w:p>
    <w:p w14:paraId="0783F5E9">
      <w:pPr>
        <w:spacing w:line="580" w:lineRule="atLeast"/>
        <w:ind w:firstLine="480" w:firstLineChars="200"/>
      </w:pPr>
      <w:r>
        <w:rPr>
          <w:rFonts w:hint="eastAsia" w:asciiTheme="minorEastAsia" w:hAnsiTheme="minorEastAsia" w:eastAsiaTheme="minorEastAsia" w:cstheme="minorEastAsia"/>
          <w:sz w:val="24"/>
        </w:rPr>
        <w:t>本项目的算法研发主要包括以下环节：数据收集、数据分类、数据预处理、基础统计分析、算法设计、性能评估、结果输出、系统集成、功能测试、项目验收等。</w:t>
      </w:r>
    </w:p>
    <w:p w14:paraId="06BC993A">
      <w:pPr>
        <w:spacing w:line="580" w:lineRule="atLeast"/>
        <w:ind w:firstLine="482" w:firstLineChars="200"/>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2、研发工艺要求</w:t>
      </w:r>
    </w:p>
    <w:p w14:paraId="39CA19FD">
      <w:pPr>
        <w:spacing w:line="580" w:lineRule="atLeast"/>
        <w:ind w:firstLine="482" w:firstLineChars="200"/>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（1）算法研发要求</w:t>
      </w:r>
    </w:p>
    <w:p w14:paraId="4B83E6E6">
      <w:pPr>
        <w:numPr>
          <w:ilvl w:val="0"/>
          <w:numId w:val="2"/>
        </w:numPr>
        <w:spacing w:line="580" w:lineRule="atLeas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研发的算法应基于开源框架（如TensorFlow、PyTorch、Scikit-learn等），具有可复现性；</w:t>
      </w:r>
    </w:p>
    <w:p w14:paraId="3C5A94C3">
      <w:pPr>
        <w:numPr>
          <w:ilvl w:val="0"/>
          <w:numId w:val="2"/>
        </w:numPr>
        <w:spacing w:line="580" w:lineRule="atLeas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各模块应提供统一的输入输出接口规范（JSON或CSV格式），具备批量处理能力。</w:t>
      </w:r>
    </w:p>
    <w:p w14:paraId="1DE2890A">
      <w:pPr>
        <w:spacing w:line="580" w:lineRule="atLeast"/>
        <w:ind w:firstLine="482" w:firstLineChars="200"/>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（2）成果输出要求</w:t>
      </w:r>
    </w:p>
    <w:p w14:paraId="7FEDEC08">
      <w:pPr>
        <w:numPr>
          <w:ilvl w:val="0"/>
          <w:numId w:val="3"/>
        </w:numPr>
        <w:spacing w:line="580" w:lineRule="atLeas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研发成果包括算法源代码、技术文档、示例数据、算法运行结果及验证报告；</w:t>
      </w:r>
    </w:p>
    <w:p w14:paraId="7E16D214">
      <w:pPr>
        <w:numPr>
          <w:ilvl w:val="0"/>
          <w:numId w:val="3"/>
        </w:numPr>
        <w:spacing w:line="580" w:lineRule="atLeas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所有算法模块须具备调用说明文档、参数配置说明与计算实例；</w:t>
      </w:r>
    </w:p>
    <w:p w14:paraId="63D47F2B">
      <w:pPr>
        <w:numPr>
          <w:ilvl w:val="0"/>
          <w:numId w:val="3"/>
        </w:numPr>
        <w:spacing w:line="580" w:lineRule="atLeas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提供至少一类典型场景的应用示例；</w:t>
      </w:r>
    </w:p>
    <w:p w14:paraId="22791EE0">
      <w:pPr>
        <w:numPr>
          <w:ilvl w:val="0"/>
          <w:numId w:val="3"/>
        </w:numPr>
        <w:spacing w:line="580" w:lineRule="atLeast"/>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算法应能集成至甲方既有或定制软件平台中，并通过系统测试。</w:t>
      </w:r>
    </w:p>
    <w:p w14:paraId="65CFBE49">
      <w:pPr>
        <w:spacing w:line="580" w:lineRule="atLeast"/>
        <w:ind w:firstLine="482" w:firstLineChars="200"/>
        <w:outlineLvl w:val="1"/>
      </w:pPr>
      <w:r>
        <w:rPr>
          <w:rFonts w:hint="eastAsia" w:asciiTheme="minorEastAsia" w:hAnsiTheme="minorEastAsia" w:eastAsiaTheme="minorEastAsia" w:cstheme="minorEastAsia"/>
          <w:b/>
          <w:bCs/>
          <w:sz w:val="24"/>
        </w:rPr>
        <w:t>3、质量控制要求</w:t>
      </w:r>
    </w:p>
    <w:p w14:paraId="48C5E8FE">
      <w:pPr>
        <w:spacing w:line="580" w:lineRule="atLeas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（1）算法研发质控</w:t>
      </w:r>
    </w:p>
    <w:p w14:paraId="7D423766">
      <w:pPr>
        <w:numPr>
          <w:ilvl w:val="0"/>
          <w:numId w:val="4"/>
        </w:numPr>
        <w:spacing w:line="58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每个算法模块须进行集成测试，测试覆盖率≥95%。</w:t>
      </w:r>
    </w:p>
    <w:p w14:paraId="57520945">
      <w:pPr>
        <w:spacing w:line="580" w:lineRule="atLeas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（2）成果验收质控</w:t>
      </w:r>
    </w:p>
    <w:p w14:paraId="05C57D75">
      <w:pPr>
        <w:numPr>
          <w:ilvl w:val="0"/>
          <w:numId w:val="5"/>
        </w:numPr>
        <w:spacing w:line="58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验收环节随机抽选样本不少于成果总量的30%；</w:t>
      </w:r>
    </w:p>
    <w:p w14:paraId="1BE59FEA">
      <w:pPr>
        <w:numPr>
          <w:ilvl w:val="0"/>
          <w:numId w:val="5"/>
        </w:numPr>
        <w:spacing w:line="58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验收内容包括算法运行结果的准确性、稳定性、运行效率及可移植性；</w:t>
      </w:r>
    </w:p>
    <w:p w14:paraId="24E450A5">
      <w:pPr>
        <w:numPr>
          <w:ilvl w:val="0"/>
          <w:numId w:val="5"/>
        </w:numPr>
        <w:spacing w:line="580" w:lineRule="atLeast"/>
      </w:pPr>
      <w:r>
        <w:rPr>
          <w:rFonts w:hint="eastAsia" w:asciiTheme="minorEastAsia" w:hAnsiTheme="minorEastAsia" w:eastAsiaTheme="minorEastAsia" w:cstheme="minorEastAsia"/>
          <w:sz w:val="24"/>
        </w:rPr>
        <w:t>综合评估合格率须达到95%以上。</w:t>
      </w:r>
    </w:p>
    <w:p w14:paraId="7712F007">
      <w:pPr>
        <w:spacing w:line="580" w:lineRule="atLeast"/>
        <w:ind w:firstLine="482" w:firstLineChars="200"/>
        <w:outlineLvl w:val="1"/>
        <w:rPr>
          <w:rFonts w:hint="eastAsia" w:asciiTheme="minorEastAsia" w:hAnsiTheme="minorEastAsia" w:eastAsiaTheme="minorEastAsia" w:cstheme="minorEastAsia"/>
          <w:b/>
          <w:bCs/>
          <w:sz w:val="24"/>
        </w:rPr>
      </w:pPr>
      <w:bookmarkStart w:id="27" w:name="_Toc138230652"/>
      <w:bookmarkStart w:id="28" w:name="_Toc6224"/>
      <w:r>
        <w:rPr>
          <w:rFonts w:hint="eastAsia" w:asciiTheme="minorEastAsia" w:hAnsiTheme="minorEastAsia" w:eastAsiaTheme="minorEastAsia" w:cstheme="minorEastAsia"/>
          <w:b/>
          <w:bCs/>
          <w:sz w:val="24"/>
        </w:rPr>
        <w:t>4、保密安全要求</w:t>
      </w:r>
      <w:bookmarkEnd w:id="27"/>
    </w:p>
    <w:bookmarkEnd w:id="28"/>
    <w:p w14:paraId="10327531">
      <w:pPr>
        <w:spacing w:line="580" w:lineRule="atLeas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（1）数据安全管理</w:t>
      </w:r>
    </w:p>
    <w:p w14:paraId="429336F7">
      <w:pPr>
        <w:numPr>
          <w:ilvl w:val="0"/>
          <w:numId w:val="6"/>
        </w:numPr>
        <w:spacing w:line="58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项目相关数据不得用于与本项目无关的任何活动。</w:t>
      </w:r>
    </w:p>
    <w:p w14:paraId="7571C101">
      <w:pPr>
        <w:spacing w:line="580" w:lineRule="atLeas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（2）系统安全管理</w:t>
      </w:r>
    </w:p>
    <w:p w14:paraId="7C9D54F0">
      <w:pPr>
        <w:numPr>
          <w:ilvl w:val="0"/>
          <w:numId w:val="7"/>
        </w:numPr>
        <w:spacing w:line="58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严禁外部访问敏感数据接口，须通过甲方授权通道调用；</w:t>
      </w:r>
    </w:p>
    <w:p w14:paraId="70154CED">
      <w:pPr>
        <w:numPr>
          <w:ilvl w:val="0"/>
          <w:numId w:val="7"/>
        </w:numPr>
        <w:spacing w:line="58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定期进行安全扫描与漏洞修复，确保算法平台运行安全。</w:t>
      </w:r>
    </w:p>
    <w:p w14:paraId="3899D763">
      <w:pPr>
        <w:spacing w:line="580" w:lineRule="atLeas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（3）人员保密管理</w:t>
      </w:r>
    </w:p>
    <w:p w14:paraId="342D398A">
      <w:pPr>
        <w:numPr>
          <w:ilvl w:val="0"/>
          <w:numId w:val="8"/>
        </w:numPr>
        <w:spacing w:line="58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禁止将算法成果、源代码或数据样本外泄。</w:t>
      </w:r>
    </w:p>
    <w:p w14:paraId="769904BC">
      <w:pPr>
        <w:keepNext/>
        <w:tabs>
          <w:tab w:val="left" w:pos="609"/>
          <w:tab w:val="left" w:pos="723"/>
        </w:tabs>
        <w:adjustRightInd w:val="0"/>
        <w:snapToGrid w:val="0"/>
        <w:spacing w:line="580" w:lineRule="atLeast"/>
        <w:ind w:left="640"/>
        <w:outlineLvl w:val="1"/>
        <w:rPr>
          <w:rFonts w:hint="eastAsia" w:asciiTheme="minorEastAsia" w:hAnsiTheme="minorEastAsia" w:eastAsiaTheme="minorEastAsia" w:cstheme="minorEastAsia"/>
          <w:b/>
          <w:bCs/>
          <w:kern w:val="0"/>
          <w:sz w:val="24"/>
        </w:rPr>
      </w:pPr>
      <w:bookmarkStart w:id="29" w:name="_Toc138230656"/>
      <w:r>
        <w:rPr>
          <w:rFonts w:hint="eastAsia" w:asciiTheme="minorEastAsia" w:hAnsiTheme="minorEastAsia" w:eastAsiaTheme="minorEastAsia" w:cstheme="minorEastAsia"/>
          <w:b/>
          <w:bCs/>
          <w:kern w:val="0"/>
          <w:sz w:val="24"/>
        </w:rPr>
        <w:t>5、遵循标准</w:t>
      </w:r>
      <w:bookmarkEnd w:id="29"/>
    </w:p>
    <w:p w14:paraId="078C2C28">
      <w:pPr>
        <w:pStyle w:val="2"/>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（1）《水文资料整编规范SL/T 247-2020》；</w:t>
      </w:r>
    </w:p>
    <w:p w14:paraId="1425B668">
      <w:pPr>
        <w:pStyle w:val="2"/>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（2）《水利水电工程水文计算规范（SL/T 278-2020》；</w:t>
      </w:r>
    </w:p>
    <w:p w14:paraId="1DB2F3C0">
      <w:pPr>
        <w:pStyle w:val="2"/>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（3）《水利信息产品服务总则 SL/T 798-2020》；</w:t>
      </w:r>
    </w:p>
    <w:p w14:paraId="2F708BFB">
      <w:pPr>
        <w:pStyle w:val="2"/>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（4）《水利数据目录服务规范 SL/T 799-2020》；</w:t>
      </w:r>
    </w:p>
    <w:p w14:paraId="3C900ADD">
      <w:pPr>
        <w:pStyle w:val="2"/>
        <w:spacing w:line="58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（5）《城市水文监测与分析评价技术导则 SL/Z 572-2014》；</w:t>
      </w:r>
    </w:p>
    <w:p w14:paraId="3B0DE963">
      <w:pPr>
        <w:pStyle w:val="2"/>
        <w:spacing w:line="580" w:lineRule="atLeast"/>
        <w:ind w:firstLine="480" w:firstLineChars="200"/>
        <w:rPr>
          <w:rFonts w:ascii="Times New Roman" w:hAnsi="Times New Roman" w:eastAsiaTheme="minorEastAsia"/>
          <w:kern w:val="0"/>
          <w:sz w:val="24"/>
        </w:rPr>
      </w:pPr>
      <w:r>
        <w:rPr>
          <w:rFonts w:hint="eastAsia" w:asciiTheme="minorEastAsia" w:hAnsiTheme="minorEastAsia" w:eastAsiaTheme="minorEastAsia" w:cstheme="minorEastAsia"/>
          <w:sz w:val="24"/>
        </w:rPr>
        <w:t>（6）《信息技术 大数据 数据治理实施指南GBT 44109-2024》。</w:t>
      </w:r>
    </w:p>
    <w:p w14:paraId="6F3EAF6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60FAE2EA">
      <w:pPr>
        <w:pStyle w:val="3"/>
      </w:pPr>
      <w:r>
        <w:rPr>
          <w:rFonts w:hint="eastAsia"/>
        </w:rPr>
        <w:t>1综合评分法</w:t>
      </w:r>
    </w:p>
    <w:tbl>
      <w:tblPr>
        <w:tblStyle w:val="13"/>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7"/>
        <w:gridCol w:w="829"/>
        <w:gridCol w:w="3869"/>
        <w:gridCol w:w="604"/>
        <w:gridCol w:w="2648"/>
      </w:tblGrid>
      <w:tr w14:paraId="5FFA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Align w:val="center"/>
          </w:tcPr>
          <w:p w14:paraId="7A04410D">
            <w:pPr>
              <w:widowControl/>
              <w:jc w:val="center"/>
              <w:textAlignment w:val="center"/>
              <w:rPr>
                <w:rFonts w:hint="eastAsia" w:ascii="仿宋" w:hAnsi="仿宋" w:eastAsia="仿宋" w:cs="宋体"/>
                <w:b/>
                <w:sz w:val="24"/>
              </w:rPr>
            </w:pPr>
            <w:r>
              <w:rPr>
                <w:rFonts w:hint="eastAsia" w:ascii="仿宋" w:hAnsi="仿宋" w:eastAsia="仿宋" w:cs="宋体"/>
                <w:b/>
                <w:sz w:val="24"/>
                <w:lang w:bidi="ar"/>
              </w:rPr>
              <w:t>序号</w:t>
            </w:r>
          </w:p>
        </w:tc>
        <w:tc>
          <w:tcPr>
            <w:tcW w:w="829" w:type="dxa"/>
            <w:vAlign w:val="center"/>
          </w:tcPr>
          <w:p w14:paraId="573212EE">
            <w:pPr>
              <w:widowControl/>
              <w:jc w:val="center"/>
              <w:textAlignment w:val="center"/>
              <w:rPr>
                <w:rFonts w:hint="eastAsia" w:ascii="仿宋" w:hAnsi="仿宋" w:eastAsia="仿宋" w:cs="宋体"/>
                <w:b/>
                <w:sz w:val="24"/>
                <w:lang w:bidi="ar"/>
              </w:rPr>
            </w:pPr>
            <w:r>
              <w:rPr>
                <w:rFonts w:hint="eastAsia" w:ascii="仿宋" w:hAnsi="仿宋" w:eastAsia="仿宋" w:cs="宋体"/>
                <w:b/>
                <w:sz w:val="24"/>
                <w:lang w:bidi="ar"/>
              </w:rPr>
              <w:t>评审</w:t>
            </w:r>
          </w:p>
          <w:p w14:paraId="19DF005B">
            <w:pPr>
              <w:widowControl/>
              <w:jc w:val="center"/>
              <w:textAlignment w:val="center"/>
              <w:rPr>
                <w:rFonts w:hint="eastAsia" w:ascii="仿宋" w:hAnsi="仿宋" w:eastAsia="仿宋" w:cs="宋体"/>
                <w:b/>
                <w:sz w:val="24"/>
              </w:rPr>
            </w:pPr>
            <w:r>
              <w:rPr>
                <w:rFonts w:hint="eastAsia" w:ascii="仿宋" w:hAnsi="仿宋" w:eastAsia="仿宋" w:cs="宋体"/>
                <w:b/>
                <w:sz w:val="24"/>
                <w:lang w:bidi="ar"/>
              </w:rPr>
              <w:t>项目</w:t>
            </w:r>
          </w:p>
        </w:tc>
        <w:tc>
          <w:tcPr>
            <w:tcW w:w="3869" w:type="dxa"/>
            <w:vAlign w:val="center"/>
          </w:tcPr>
          <w:p w14:paraId="06B9434A">
            <w:pPr>
              <w:widowControl/>
              <w:jc w:val="center"/>
              <w:textAlignment w:val="center"/>
              <w:rPr>
                <w:rFonts w:hint="eastAsia" w:ascii="仿宋" w:hAnsi="仿宋" w:eastAsia="仿宋" w:cs="宋体"/>
                <w:b/>
                <w:sz w:val="24"/>
              </w:rPr>
            </w:pPr>
            <w:r>
              <w:rPr>
                <w:rFonts w:hint="eastAsia" w:ascii="仿宋" w:hAnsi="仿宋" w:eastAsia="仿宋" w:cs="宋体"/>
                <w:b/>
                <w:sz w:val="24"/>
                <w:lang w:bidi="ar"/>
              </w:rPr>
              <w:t>评审内容及规则</w:t>
            </w:r>
          </w:p>
        </w:tc>
        <w:tc>
          <w:tcPr>
            <w:tcW w:w="604" w:type="dxa"/>
            <w:vAlign w:val="center"/>
          </w:tcPr>
          <w:p w14:paraId="31DB7EA4">
            <w:pPr>
              <w:widowControl/>
              <w:jc w:val="center"/>
              <w:textAlignment w:val="center"/>
              <w:rPr>
                <w:rFonts w:hint="eastAsia" w:ascii="仿宋" w:hAnsi="仿宋" w:eastAsia="仿宋" w:cs="宋体"/>
                <w:b/>
                <w:sz w:val="24"/>
              </w:rPr>
            </w:pPr>
            <w:r>
              <w:rPr>
                <w:rFonts w:hint="eastAsia" w:ascii="仿宋" w:hAnsi="仿宋" w:eastAsia="仿宋" w:cs="宋体"/>
                <w:b/>
                <w:sz w:val="24"/>
                <w:lang w:bidi="ar"/>
              </w:rPr>
              <w:t>标准分值</w:t>
            </w:r>
          </w:p>
        </w:tc>
        <w:tc>
          <w:tcPr>
            <w:tcW w:w="2648" w:type="dxa"/>
            <w:vAlign w:val="center"/>
          </w:tcPr>
          <w:p w14:paraId="758C21A6">
            <w:pPr>
              <w:widowControl/>
              <w:jc w:val="center"/>
              <w:textAlignment w:val="center"/>
              <w:rPr>
                <w:rFonts w:hint="eastAsia" w:ascii="仿宋" w:hAnsi="仿宋" w:eastAsia="仿宋" w:cs="宋体"/>
                <w:b/>
                <w:sz w:val="24"/>
              </w:rPr>
            </w:pPr>
            <w:r>
              <w:rPr>
                <w:rFonts w:hint="eastAsia" w:ascii="仿宋" w:hAnsi="仿宋" w:eastAsia="仿宋" w:cs="宋体"/>
                <w:b/>
                <w:sz w:val="24"/>
                <w:lang w:bidi="ar"/>
              </w:rPr>
              <w:t>说明</w:t>
            </w:r>
          </w:p>
        </w:tc>
      </w:tr>
      <w:tr w14:paraId="33EC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25" w:type="dxa"/>
            <w:gridSpan w:val="3"/>
            <w:vAlign w:val="center"/>
          </w:tcPr>
          <w:p w14:paraId="4A61F1AD">
            <w:pPr>
              <w:jc w:val="center"/>
              <w:rPr>
                <w:rFonts w:hint="eastAsia" w:ascii="仿宋" w:hAnsi="仿宋" w:eastAsia="仿宋" w:cs="宋体"/>
                <w:sz w:val="24"/>
              </w:rPr>
            </w:pPr>
            <w:r>
              <w:rPr>
                <w:rFonts w:hint="eastAsia" w:ascii="仿宋" w:hAnsi="仿宋" w:eastAsia="仿宋" w:cs="宋体"/>
                <w:b/>
                <w:sz w:val="24"/>
                <w:lang w:bidi="ar"/>
              </w:rPr>
              <w:t>商务评审</w:t>
            </w:r>
          </w:p>
        </w:tc>
        <w:tc>
          <w:tcPr>
            <w:tcW w:w="604" w:type="dxa"/>
            <w:vAlign w:val="center"/>
          </w:tcPr>
          <w:p w14:paraId="4121E185">
            <w:pPr>
              <w:widowControl/>
              <w:jc w:val="center"/>
              <w:textAlignment w:val="center"/>
              <w:rPr>
                <w:rFonts w:hint="eastAsia" w:ascii="仿宋" w:hAnsi="仿宋" w:eastAsia="仿宋" w:cs="宋体"/>
                <w:b/>
                <w:sz w:val="24"/>
              </w:rPr>
            </w:pPr>
            <w:r>
              <w:rPr>
                <w:rFonts w:hint="eastAsia" w:ascii="仿宋" w:hAnsi="仿宋" w:eastAsia="仿宋" w:cs="宋体"/>
                <w:b/>
                <w:sz w:val="24"/>
                <w:lang w:val="en-US" w:eastAsia="zh-CN"/>
              </w:rPr>
              <w:t>6</w:t>
            </w:r>
            <w:r>
              <w:rPr>
                <w:rFonts w:hint="eastAsia" w:ascii="仿宋" w:hAnsi="仿宋" w:eastAsia="仿宋" w:cs="宋体"/>
                <w:b/>
                <w:sz w:val="24"/>
              </w:rPr>
              <w:t>0</w:t>
            </w:r>
          </w:p>
        </w:tc>
        <w:tc>
          <w:tcPr>
            <w:tcW w:w="2648" w:type="dxa"/>
            <w:vAlign w:val="bottom"/>
          </w:tcPr>
          <w:p w14:paraId="76C116F9">
            <w:pPr>
              <w:rPr>
                <w:rFonts w:hint="eastAsia" w:ascii="仿宋" w:hAnsi="仿宋" w:eastAsia="仿宋" w:cs="宋体"/>
                <w:sz w:val="24"/>
              </w:rPr>
            </w:pPr>
          </w:p>
        </w:tc>
      </w:tr>
      <w:tr w14:paraId="5DB4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Align w:val="center"/>
          </w:tcPr>
          <w:p w14:paraId="01933446">
            <w:pPr>
              <w:widowControl/>
              <w:jc w:val="center"/>
              <w:textAlignment w:val="center"/>
              <w:rPr>
                <w:rFonts w:hint="eastAsia" w:ascii="仿宋" w:hAnsi="仿宋" w:eastAsia="仿宋" w:cs="宋体"/>
                <w:sz w:val="24"/>
              </w:rPr>
            </w:pPr>
            <w:r>
              <w:rPr>
                <w:rFonts w:hint="eastAsia" w:ascii="仿宋" w:hAnsi="仿宋" w:eastAsia="仿宋" w:cs="宋体"/>
                <w:sz w:val="24"/>
                <w:lang w:bidi="ar"/>
              </w:rPr>
              <w:t>一</w:t>
            </w:r>
          </w:p>
        </w:tc>
        <w:tc>
          <w:tcPr>
            <w:tcW w:w="829" w:type="dxa"/>
            <w:vAlign w:val="center"/>
          </w:tcPr>
          <w:p w14:paraId="18414EB7">
            <w:pPr>
              <w:widowControl/>
              <w:jc w:val="center"/>
              <w:textAlignment w:val="center"/>
              <w:rPr>
                <w:rFonts w:hint="eastAsia" w:ascii="仿宋" w:hAnsi="仿宋" w:eastAsia="仿宋" w:cs="宋体"/>
                <w:sz w:val="24"/>
              </w:rPr>
            </w:pPr>
            <w:r>
              <w:rPr>
                <w:rFonts w:hint="eastAsia" w:ascii="仿宋" w:hAnsi="仿宋" w:eastAsia="仿宋" w:cs="宋体"/>
                <w:sz w:val="24"/>
                <w:lang w:bidi="ar"/>
              </w:rPr>
              <w:t>价格</w:t>
            </w:r>
          </w:p>
        </w:tc>
        <w:tc>
          <w:tcPr>
            <w:tcW w:w="3869" w:type="dxa"/>
            <w:vAlign w:val="center"/>
          </w:tcPr>
          <w:p w14:paraId="569E8292">
            <w:pPr>
              <w:widowControl/>
              <w:textAlignment w:val="top"/>
              <w:rPr>
                <w:rFonts w:hint="eastAsia" w:ascii="仿宋" w:hAnsi="仿宋" w:eastAsia="仿宋" w:cs="宋体"/>
                <w:kern w:val="0"/>
                <w:sz w:val="24"/>
                <w:lang w:bidi="ar"/>
              </w:rPr>
            </w:pPr>
            <w:r>
              <w:rPr>
                <w:rFonts w:hint="eastAsia" w:ascii="仿宋" w:hAnsi="仿宋" w:eastAsia="仿宋" w:cs="宋体"/>
                <w:kern w:val="0"/>
                <w:sz w:val="24"/>
                <w:lang w:bidi="ar"/>
              </w:rPr>
              <w:t>1.投标基准价：满足招标文件全部实质性要求且最后报价最低的供应商的价格为投标基准价，投标基准价为满分20分。</w:t>
            </w:r>
          </w:p>
          <w:p w14:paraId="080A8B69">
            <w:pPr>
              <w:widowControl/>
              <w:textAlignment w:val="center"/>
              <w:rPr>
                <w:rFonts w:hint="eastAsia" w:ascii="仿宋" w:hAnsi="仿宋" w:eastAsia="仿宋" w:cs="宋体"/>
                <w:sz w:val="24"/>
              </w:rPr>
            </w:pPr>
            <w:r>
              <w:rPr>
                <w:rFonts w:hint="eastAsia" w:ascii="仿宋" w:hAnsi="仿宋" w:eastAsia="仿宋" w:cs="宋体"/>
                <w:kern w:val="0"/>
                <w:sz w:val="24"/>
                <w:lang w:bidi="ar"/>
              </w:rPr>
              <w:t>2.供应商的价格分统一按照下列公式计算：投标报价得分＝（投标基准价／最后投标报价）×20。得分保留至小数点后两位，第三位四舍五入。</w:t>
            </w:r>
          </w:p>
        </w:tc>
        <w:tc>
          <w:tcPr>
            <w:tcW w:w="604" w:type="dxa"/>
            <w:vAlign w:val="center"/>
          </w:tcPr>
          <w:p w14:paraId="7E774890">
            <w:pPr>
              <w:widowControl/>
              <w:jc w:val="center"/>
              <w:textAlignment w:val="center"/>
              <w:rPr>
                <w:rFonts w:hint="eastAsia" w:ascii="仿宋" w:hAnsi="仿宋" w:eastAsia="仿宋" w:cs="宋体"/>
                <w:sz w:val="24"/>
              </w:rPr>
            </w:pPr>
            <w:r>
              <w:rPr>
                <w:rFonts w:hint="eastAsia" w:ascii="仿宋" w:hAnsi="仿宋" w:eastAsia="仿宋" w:cs="宋体"/>
                <w:sz w:val="24"/>
                <w:lang w:bidi="ar"/>
              </w:rPr>
              <w:t>20</w:t>
            </w:r>
          </w:p>
        </w:tc>
        <w:tc>
          <w:tcPr>
            <w:tcW w:w="2648" w:type="dxa"/>
            <w:vAlign w:val="bottom"/>
          </w:tcPr>
          <w:p w14:paraId="23CCDDB7">
            <w:pPr>
              <w:rPr>
                <w:rFonts w:hint="eastAsia" w:ascii="仿宋" w:hAnsi="仿宋" w:eastAsia="仿宋" w:cs="宋体"/>
                <w:sz w:val="24"/>
              </w:rPr>
            </w:pPr>
          </w:p>
        </w:tc>
      </w:tr>
      <w:tr w14:paraId="50AF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restart"/>
            <w:vAlign w:val="center"/>
          </w:tcPr>
          <w:p w14:paraId="5584BD79">
            <w:pPr>
              <w:widowControl/>
              <w:jc w:val="center"/>
              <w:textAlignment w:val="center"/>
              <w:rPr>
                <w:rFonts w:hint="eastAsia" w:ascii="仿宋" w:hAnsi="仿宋" w:eastAsia="仿宋" w:cs="宋体"/>
                <w:sz w:val="24"/>
              </w:rPr>
            </w:pPr>
            <w:r>
              <w:rPr>
                <w:rFonts w:hint="eastAsia" w:ascii="仿宋" w:hAnsi="仿宋" w:eastAsia="仿宋" w:cs="宋体"/>
                <w:sz w:val="24"/>
                <w:lang w:bidi="ar"/>
              </w:rPr>
              <w:t>二</w:t>
            </w:r>
          </w:p>
        </w:tc>
        <w:tc>
          <w:tcPr>
            <w:tcW w:w="829" w:type="dxa"/>
            <w:vMerge w:val="restart"/>
            <w:vAlign w:val="center"/>
          </w:tcPr>
          <w:p w14:paraId="2200F462">
            <w:pPr>
              <w:widowControl/>
              <w:jc w:val="center"/>
              <w:textAlignment w:val="center"/>
              <w:rPr>
                <w:rFonts w:hint="eastAsia" w:ascii="仿宋" w:hAnsi="仿宋" w:eastAsia="仿宋" w:cs="宋体"/>
                <w:sz w:val="24"/>
                <w:lang w:eastAsia="zh-CN"/>
              </w:rPr>
            </w:pPr>
            <w:r>
              <w:rPr>
                <w:rFonts w:hint="eastAsia" w:ascii="仿宋" w:hAnsi="仿宋" w:eastAsia="仿宋" w:cs="宋体"/>
                <w:kern w:val="0"/>
                <w:sz w:val="24"/>
                <w:lang w:val="en-US" w:eastAsia="zh-CN"/>
              </w:rPr>
              <w:t>专业保障能力</w:t>
            </w:r>
          </w:p>
        </w:tc>
        <w:tc>
          <w:tcPr>
            <w:tcW w:w="3869" w:type="dxa"/>
            <w:vAlign w:val="center"/>
          </w:tcPr>
          <w:p w14:paraId="6A9F4B67">
            <w:pPr>
              <w:widowControl/>
              <w:textAlignment w:val="center"/>
              <w:rPr>
                <w:rFonts w:hint="eastAsia" w:ascii="仿宋" w:hAnsi="仿宋" w:eastAsia="仿宋" w:cs="宋体"/>
                <w:kern w:val="0"/>
                <w:sz w:val="24"/>
                <w:lang w:bidi="ar"/>
              </w:rPr>
            </w:pPr>
            <w:r>
              <w:rPr>
                <w:rFonts w:hint="eastAsia" w:ascii="仿宋" w:hAnsi="仿宋" w:eastAsia="仿宋" w:cs="宋体"/>
                <w:sz w:val="24"/>
              </w:rPr>
              <w:t>1.</w:t>
            </w:r>
            <w:r>
              <w:rPr>
                <w:rFonts w:hint="eastAsia" w:ascii="仿宋" w:hAnsi="仿宋" w:eastAsia="仿宋" w:cs="宋体"/>
                <w:kern w:val="0"/>
                <w:sz w:val="24"/>
              </w:rPr>
              <w:t>投标人具有水利工程学科全国重点实验室的，得2分；省部级实验室的，得1分；其他不得分；只记1个最高等级，不重复记分，最高计2分。</w:t>
            </w:r>
          </w:p>
        </w:tc>
        <w:tc>
          <w:tcPr>
            <w:tcW w:w="604" w:type="dxa"/>
            <w:vAlign w:val="center"/>
          </w:tcPr>
          <w:p w14:paraId="605E04D1">
            <w:pPr>
              <w:widowControl/>
              <w:jc w:val="center"/>
              <w:textAlignment w:val="center"/>
              <w:rPr>
                <w:rFonts w:hint="eastAsia" w:ascii="仿宋" w:hAnsi="仿宋" w:eastAsia="仿宋" w:cs="宋体"/>
                <w:sz w:val="24"/>
                <w:lang w:bidi="ar"/>
              </w:rPr>
            </w:pPr>
            <w:r>
              <w:rPr>
                <w:rFonts w:hint="eastAsia" w:ascii="仿宋" w:hAnsi="仿宋" w:eastAsia="仿宋" w:cs="宋体"/>
                <w:sz w:val="24"/>
                <w:lang w:bidi="ar"/>
              </w:rPr>
              <w:t>2</w:t>
            </w:r>
          </w:p>
        </w:tc>
        <w:tc>
          <w:tcPr>
            <w:tcW w:w="2648" w:type="dxa"/>
            <w:vMerge w:val="restart"/>
            <w:vAlign w:val="center"/>
          </w:tcPr>
          <w:p w14:paraId="3F4038AD">
            <w:pPr>
              <w:rPr>
                <w:rFonts w:hint="eastAsia" w:ascii="仿宋" w:hAnsi="仿宋" w:eastAsia="仿宋" w:cs="宋体"/>
                <w:sz w:val="24"/>
              </w:rPr>
            </w:pPr>
            <w:r>
              <w:rPr>
                <w:rFonts w:hint="eastAsia" w:ascii="仿宋" w:hAnsi="仿宋" w:eastAsia="仿宋" w:cs="宋体"/>
                <w:kern w:val="0"/>
                <w:sz w:val="24"/>
              </w:rPr>
              <w:t>需提供相关证明材料的原件或复印件加盖公章</w:t>
            </w:r>
          </w:p>
        </w:tc>
      </w:tr>
      <w:tr w14:paraId="580D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03E41C4B">
            <w:pPr>
              <w:jc w:val="center"/>
              <w:rPr>
                <w:rFonts w:hint="eastAsia" w:ascii="仿宋" w:hAnsi="仿宋" w:eastAsia="仿宋" w:cs="宋体"/>
                <w:sz w:val="24"/>
              </w:rPr>
            </w:pPr>
          </w:p>
        </w:tc>
        <w:tc>
          <w:tcPr>
            <w:tcW w:w="829" w:type="dxa"/>
            <w:vMerge w:val="continue"/>
            <w:vAlign w:val="center"/>
          </w:tcPr>
          <w:p w14:paraId="350D6755">
            <w:pPr>
              <w:jc w:val="center"/>
              <w:rPr>
                <w:rFonts w:hint="eastAsia" w:ascii="仿宋" w:hAnsi="仿宋" w:eastAsia="仿宋" w:cs="宋体"/>
                <w:sz w:val="24"/>
              </w:rPr>
            </w:pPr>
          </w:p>
        </w:tc>
        <w:tc>
          <w:tcPr>
            <w:tcW w:w="3869" w:type="dxa"/>
            <w:vAlign w:val="center"/>
          </w:tcPr>
          <w:p w14:paraId="36250571">
            <w:pPr>
              <w:widowControl/>
              <w:textAlignment w:val="center"/>
              <w:rPr>
                <w:rFonts w:hint="eastAsia" w:ascii="仿宋" w:hAnsi="仿宋" w:eastAsia="仿宋" w:cs="宋体"/>
                <w:sz w:val="24"/>
              </w:rPr>
            </w:pPr>
            <w:r>
              <w:rPr>
                <w:rFonts w:hint="eastAsia" w:ascii="仿宋" w:hAnsi="仿宋" w:eastAsia="仿宋" w:cs="宋体"/>
                <w:sz w:val="24"/>
              </w:rPr>
              <w:t>2.</w:t>
            </w:r>
            <w:r>
              <w:rPr>
                <w:rFonts w:hint="eastAsia" w:ascii="仿宋" w:hAnsi="仿宋" w:eastAsia="仿宋" w:cs="宋体"/>
                <w:kern w:val="0"/>
                <w:sz w:val="24"/>
              </w:rPr>
              <w:t>投标人具有国家发改委立项工程研究中心的，得</w:t>
            </w:r>
            <w:r>
              <w:rPr>
                <w:rFonts w:hint="eastAsia" w:ascii="仿宋" w:hAnsi="仿宋" w:eastAsia="仿宋" w:cs="宋体"/>
                <w:kern w:val="0"/>
                <w:sz w:val="24"/>
                <w:lang w:val="en-US" w:eastAsia="zh-CN"/>
              </w:rPr>
              <w:t>4</w:t>
            </w:r>
            <w:r>
              <w:rPr>
                <w:rFonts w:hint="eastAsia" w:ascii="仿宋" w:hAnsi="仿宋" w:eastAsia="仿宋" w:cs="宋体"/>
                <w:kern w:val="0"/>
                <w:sz w:val="24"/>
              </w:rPr>
              <w:t>分；省部级发改委立项的，得</w:t>
            </w:r>
            <w:r>
              <w:rPr>
                <w:rFonts w:hint="eastAsia" w:ascii="仿宋" w:hAnsi="仿宋" w:eastAsia="仿宋" w:cs="宋体"/>
                <w:kern w:val="0"/>
                <w:sz w:val="24"/>
                <w:lang w:val="en-US" w:eastAsia="zh-CN"/>
              </w:rPr>
              <w:t>2</w:t>
            </w:r>
            <w:r>
              <w:rPr>
                <w:rFonts w:hint="eastAsia" w:ascii="仿宋" w:hAnsi="仿宋" w:eastAsia="仿宋" w:cs="宋体"/>
                <w:kern w:val="0"/>
                <w:sz w:val="24"/>
              </w:rPr>
              <w:t>分；其他不得分；只记1个最高等级，不重复记分，最高计</w:t>
            </w:r>
            <w:r>
              <w:rPr>
                <w:rFonts w:hint="eastAsia" w:ascii="仿宋" w:hAnsi="仿宋" w:eastAsia="仿宋" w:cs="宋体"/>
                <w:kern w:val="0"/>
                <w:sz w:val="24"/>
                <w:lang w:val="en-US" w:eastAsia="zh-CN"/>
              </w:rPr>
              <w:t>4</w:t>
            </w:r>
            <w:r>
              <w:rPr>
                <w:rFonts w:hint="eastAsia" w:ascii="仿宋" w:hAnsi="仿宋" w:eastAsia="仿宋" w:cs="宋体"/>
                <w:kern w:val="0"/>
                <w:sz w:val="24"/>
              </w:rPr>
              <w:t>分。</w:t>
            </w:r>
          </w:p>
        </w:tc>
        <w:tc>
          <w:tcPr>
            <w:tcW w:w="604" w:type="dxa"/>
            <w:vAlign w:val="center"/>
          </w:tcPr>
          <w:p w14:paraId="1BF4B16F">
            <w:pPr>
              <w:widowControl/>
              <w:jc w:val="center"/>
              <w:textAlignment w:val="center"/>
              <w:rPr>
                <w:rFonts w:hint="eastAsia" w:ascii="仿宋" w:hAnsi="仿宋" w:eastAsia="仿宋" w:cs="宋体"/>
                <w:sz w:val="24"/>
                <w:lang w:eastAsia="zh-CN"/>
              </w:rPr>
            </w:pPr>
            <w:r>
              <w:rPr>
                <w:rFonts w:hint="eastAsia" w:ascii="仿宋" w:hAnsi="仿宋" w:eastAsia="仿宋" w:cs="宋体"/>
                <w:sz w:val="24"/>
                <w:lang w:val="en-US" w:eastAsia="zh-CN" w:bidi="ar"/>
              </w:rPr>
              <w:t>4</w:t>
            </w:r>
          </w:p>
        </w:tc>
        <w:tc>
          <w:tcPr>
            <w:tcW w:w="2648" w:type="dxa"/>
            <w:vMerge w:val="continue"/>
            <w:vAlign w:val="center"/>
          </w:tcPr>
          <w:p w14:paraId="0B8ADBFE">
            <w:pPr>
              <w:rPr>
                <w:rFonts w:hint="eastAsia" w:ascii="仿宋" w:hAnsi="仿宋" w:eastAsia="仿宋" w:cs="宋体"/>
                <w:sz w:val="24"/>
              </w:rPr>
            </w:pPr>
          </w:p>
        </w:tc>
      </w:tr>
      <w:tr w14:paraId="3A8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2F068323">
            <w:pPr>
              <w:jc w:val="center"/>
              <w:rPr>
                <w:rFonts w:hint="eastAsia" w:ascii="仿宋" w:hAnsi="仿宋" w:eastAsia="仿宋" w:cs="宋体"/>
                <w:sz w:val="24"/>
              </w:rPr>
            </w:pPr>
          </w:p>
        </w:tc>
        <w:tc>
          <w:tcPr>
            <w:tcW w:w="829" w:type="dxa"/>
            <w:vMerge w:val="continue"/>
            <w:vAlign w:val="center"/>
          </w:tcPr>
          <w:p w14:paraId="0661E5F2">
            <w:pPr>
              <w:jc w:val="center"/>
              <w:rPr>
                <w:rFonts w:hint="eastAsia" w:ascii="仿宋" w:hAnsi="仿宋" w:eastAsia="仿宋" w:cs="宋体"/>
                <w:sz w:val="24"/>
              </w:rPr>
            </w:pPr>
          </w:p>
        </w:tc>
        <w:tc>
          <w:tcPr>
            <w:tcW w:w="3869" w:type="dxa"/>
            <w:vAlign w:val="center"/>
          </w:tcPr>
          <w:p w14:paraId="4C062EEB">
            <w:pPr>
              <w:widowControl/>
              <w:textAlignment w:val="center"/>
              <w:rPr>
                <w:rFonts w:hint="eastAsia" w:ascii="仿宋" w:hAnsi="仿宋" w:eastAsia="仿宋" w:cs="宋体"/>
                <w:sz w:val="24"/>
                <w:lang w:bidi="ar"/>
              </w:rPr>
            </w:pPr>
            <w:r>
              <w:rPr>
                <w:rFonts w:hint="eastAsia" w:ascii="仿宋" w:hAnsi="仿宋" w:eastAsia="仿宋" w:cs="宋体"/>
                <w:kern w:val="0"/>
                <w:sz w:val="24"/>
              </w:rPr>
              <w:t>3.投标人具有建设项目水资源论证甲级证书的，得2分；最高计2分。</w:t>
            </w:r>
          </w:p>
        </w:tc>
        <w:tc>
          <w:tcPr>
            <w:tcW w:w="604" w:type="dxa"/>
            <w:vAlign w:val="center"/>
          </w:tcPr>
          <w:p w14:paraId="43918116">
            <w:pPr>
              <w:widowControl/>
              <w:jc w:val="center"/>
              <w:textAlignment w:val="center"/>
              <w:rPr>
                <w:rFonts w:hint="eastAsia" w:ascii="仿宋" w:hAnsi="仿宋" w:eastAsia="仿宋" w:cs="宋体"/>
                <w:sz w:val="24"/>
                <w:lang w:bidi="ar"/>
              </w:rPr>
            </w:pPr>
            <w:r>
              <w:rPr>
                <w:rFonts w:hint="eastAsia" w:ascii="仿宋" w:hAnsi="仿宋" w:eastAsia="仿宋" w:cs="宋体"/>
                <w:sz w:val="24"/>
                <w:lang w:bidi="ar"/>
              </w:rPr>
              <w:t>2</w:t>
            </w:r>
          </w:p>
        </w:tc>
        <w:tc>
          <w:tcPr>
            <w:tcW w:w="2648" w:type="dxa"/>
            <w:vMerge w:val="continue"/>
            <w:vAlign w:val="center"/>
          </w:tcPr>
          <w:p w14:paraId="63C5DA43">
            <w:pPr>
              <w:rPr>
                <w:rFonts w:hint="eastAsia" w:ascii="仿宋" w:hAnsi="仿宋" w:eastAsia="仿宋" w:cs="宋体"/>
                <w:sz w:val="24"/>
              </w:rPr>
            </w:pPr>
          </w:p>
        </w:tc>
      </w:tr>
      <w:tr w14:paraId="6650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128D48C0">
            <w:pPr>
              <w:widowControl/>
              <w:jc w:val="center"/>
              <w:textAlignment w:val="center"/>
              <w:rPr>
                <w:rFonts w:hint="eastAsia" w:ascii="仿宋" w:hAnsi="仿宋" w:eastAsia="仿宋" w:cs="宋体"/>
                <w:sz w:val="24"/>
              </w:rPr>
            </w:pPr>
          </w:p>
        </w:tc>
        <w:tc>
          <w:tcPr>
            <w:tcW w:w="829" w:type="dxa"/>
            <w:vMerge w:val="continue"/>
            <w:vAlign w:val="center"/>
          </w:tcPr>
          <w:p w14:paraId="3F4A9C90">
            <w:pPr>
              <w:widowControl/>
              <w:jc w:val="center"/>
              <w:textAlignment w:val="center"/>
              <w:rPr>
                <w:rFonts w:hint="eastAsia" w:ascii="仿宋" w:hAnsi="仿宋" w:eastAsia="仿宋" w:cs="宋体"/>
                <w:sz w:val="24"/>
              </w:rPr>
            </w:pPr>
          </w:p>
        </w:tc>
        <w:tc>
          <w:tcPr>
            <w:tcW w:w="3869" w:type="dxa"/>
            <w:vAlign w:val="center"/>
          </w:tcPr>
          <w:p w14:paraId="42D1B7C3">
            <w:pPr>
              <w:widowControl/>
              <w:textAlignment w:val="center"/>
              <w:rPr>
                <w:rFonts w:hint="eastAsia" w:ascii="仿宋" w:hAnsi="仿宋" w:eastAsia="仿宋" w:cs="宋体"/>
                <w:sz w:val="24"/>
              </w:rPr>
            </w:pPr>
            <w:r>
              <w:rPr>
                <w:rFonts w:hint="eastAsia" w:ascii="仿宋" w:hAnsi="仿宋" w:eastAsia="仿宋" w:cs="宋体"/>
                <w:sz w:val="24"/>
                <w:lang w:bidi="ar"/>
              </w:rPr>
              <w:t>1.</w:t>
            </w:r>
            <w:r>
              <w:rPr>
                <w:rFonts w:hint="eastAsia" w:ascii="仿宋" w:hAnsi="仿宋" w:eastAsia="仿宋" w:cs="宋体"/>
                <w:kern w:val="0"/>
                <w:sz w:val="24"/>
              </w:rPr>
              <w:t>2020年1月1日以来，相关成果获得省部级科技成果奖励的，每一项得2分，最高计</w:t>
            </w:r>
            <w:r>
              <w:rPr>
                <w:rFonts w:hint="eastAsia" w:ascii="仿宋" w:hAnsi="仿宋" w:eastAsia="仿宋" w:cs="宋体"/>
                <w:kern w:val="0"/>
                <w:sz w:val="24"/>
                <w:lang w:val="en-US" w:eastAsia="zh-CN"/>
              </w:rPr>
              <w:t>4</w:t>
            </w:r>
            <w:r>
              <w:rPr>
                <w:rFonts w:hint="eastAsia" w:ascii="仿宋" w:hAnsi="仿宋" w:eastAsia="仿宋" w:cs="宋体"/>
                <w:kern w:val="0"/>
                <w:sz w:val="24"/>
              </w:rPr>
              <w:t>分；</w:t>
            </w:r>
          </w:p>
        </w:tc>
        <w:tc>
          <w:tcPr>
            <w:tcW w:w="604" w:type="dxa"/>
            <w:vAlign w:val="center"/>
          </w:tcPr>
          <w:p w14:paraId="7DD409B2">
            <w:pPr>
              <w:widowControl/>
              <w:jc w:val="center"/>
              <w:textAlignment w:val="center"/>
              <w:rPr>
                <w:rFonts w:hint="eastAsia" w:ascii="仿宋" w:hAnsi="仿宋" w:eastAsia="仿宋" w:cs="宋体"/>
                <w:sz w:val="24"/>
                <w:lang w:eastAsia="zh-CN"/>
              </w:rPr>
            </w:pPr>
            <w:r>
              <w:rPr>
                <w:rFonts w:hint="eastAsia" w:ascii="仿宋" w:hAnsi="仿宋" w:eastAsia="仿宋" w:cs="宋体"/>
                <w:sz w:val="24"/>
                <w:lang w:val="en-US" w:eastAsia="zh-CN" w:bidi="ar"/>
              </w:rPr>
              <w:t>4</w:t>
            </w:r>
          </w:p>
        </w:tc>
        <w:tc>
          <w:tcPr>
            <w:tcW w:w="2648" w:type="dxa"/>
            <w:vMerge w:val="restart"/>
            <w:vAlign w:val="center"/>
          </w:tcPr>
          <w:p w14:paraId="626968C8">
            <w:pPr>
              <w:widowControl/>
              <w:textAlignment w:val="center"/>
              <w:rPr>
                <w:rStyle w:val="20"/>
                <w:rFonts w:hint="default" w:ascii="仿宋" w:hAnsi="仿宋" w:eastAsia="仿宋"/>
                <w:color w:val="auto"/>
                <w:lang w:bidi="ar"/>
              </w:rPr>
            </w:pPr>
            <w:r>
              <w:rPr>
                <w:rFonts w:hint="eastAsia" w:ascii="仿宋" w:hAnsi="仿宋" w:eastAsia="仿宋" w:cs="宋体"/>
                <w:kern w:val="0"/>
                <w:sz w:val="24"/>
              </w:rPr>
              <w:t>需提供相关证明材料原件或复印件加公章</w:t>
            </w:r>
          </w:p>
        </w:tc>
      </w:tr>
      <w:tr w14:paraId="2E91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3218E158">
            <w:pPr>
              <w:widowControl/>
              <w:jc w:val="center"/>
              <w:textAlignment w:val="center"/>
              <w:rPr>
                <w:rFonts w:hint="eastAsia" w:ascii="仿宋" w:hAnsi="仿宋" w:eastAsia="仿宋" w:cs="宋体"/>
                <w:sz w:val="24"/>
                <w:lang w:bidi="ar"/>
              </w:rPr>
            </w:pPr>
          </w:p>
        </w:tc>
        <w:tc>
          <w:tcPr>
            <w:tcW w:w="829" w:type="dxa"/>
            <w:vMerge w:val="continue"/>
            <w:vAlign w:val="center"/>
          </w:tcPr>
          <w:p w14:paraId="7967237F">
            <w:pPr>
              <w:widowControl/>
              <w:jc w:val="center"/>
              <w:textAlignment w:val="center"/>
              <w:rPr>
                <w:rFonts w:hint="eastAsia" w:ascii="仿宋" w:hAnsi="仿宋" w:eastAsia="仿宋" w:cs="宋体"/>
                <w:sz w:val="24"/>
                <w:lang w:bidi="ar"/>
              </w:rPr>
            </w:pPr>
          </w:p>
        </w:tc>
        <w:tc>
          <w:tcPr>
            <w:tcW w:w="3869" w:type="dxa"/>
            <w:vAlign w:val="center"/>
          </w:tcPr>
          <w:p w14:paraId="0285AA46">
            <w:pPr>
              <w:widowControl/>
              <w:textAlignment w:val="center"/>
              <w:rPr>
                <w:rFonts w:hint="eastAsia" w:ascii="仿宋" w:hAnsi="仿宋" w:eastAsia="仿宋" w:cs="宋体"/>
                <w:sz w:val="24"/>
              </w:rPr>
            </w:pPr>
            <w:r>
              <w:rPr>
                <w:rFonts w:hint="eastAsia" w:ascii="仿宋" w:hAnsi="仿宋" w:eastAsia="仿宋" w:cs="宋体"/>
                <w:sz w:val="24"/>
              </w:rPr>
              <w:t>2.</w:t>
            </w:r>
            <w:r>
              <w:rPr>
                <w:rFonts w:hint="eastAsia" w:ascii="仿宋" w:hAnsi="仿宋" w:eastAsia="仿宋" w:cs="宋体"/>
                <w:kern w:val="0"/>
                <w:sz w:val="24"/>
              </w:rPr>
              <w:t>参编水利数据目录服务规范相关行业或国家标准的，每一项得2分，最高计</w:t>
            </w:r>
            <w:r>
              <w:rPr>
                <w:rFonts w:hint="eastAsia" w:ascii="仿宋" w:hAnsi="仿宋" w:eastAsia="仿宋" w:cs="宋体"/>
                <w:kern w:val="0"/>
                <w:sz w:val="24"/>
                <w:lang w:val="en-US" w:eastAsia="zh-CN"/>
              </w:rPr>
              <w:t>4</w:t>
            </w:r>
            <w:r>
              <w:rPr>
                <w:rFonts w:hint="eastAsia" w:ascii="仿宋" w:hAnsi="仿宋" w:eastAsia="仿宋" w:cs="宋体"/>
                <w:kern w:val="0"/>
                <w:sz w:val="24"/>
              </w:rPr>
              <w:t>分；</w:t>
            </w:r>
          </w:p>
        </w:tc>
        <w:tc>
          <w:tcPr>
            <w:tcW w:w="604" w:type="dxa"/>
            <w:vAlign w:val="center"/>
          </w:tcPr>
          <w:p w14:paraId="535F8254">
            <w:pPr>
              <w:widowControl/>
              <w:jc w:val="center"/>
              <w:textAlignment w:val="center"/>
              <w:rPr>
                <w:rFonts w:hint="eastAsia" w:ascii="仿宋" w:hAnsi="仿宋" w:eastAsia="仿宋" w:cs="宋体"/>
                <w:sz w:val="24"/>
                <w:lang w:eastAsia="zh-CN" w:bidi="ar"/>
              </w:rPr>
            </w:pPr>
            <w:r>
              <w:rPr>
                <w:rFonts w:hint="eastAsia" w:ascii="仿宋" w:hAnsi="仿宋" w:eastAsia="仿宋" w:cs="宋体"/>
                <w:sz w:val="24"/>
                <w:lang w:val="en-US" w:eastAsia="zh-CN" w:bidi="ar"/>
              </w:rPr>
              <w:t>4</w:t>
            </w:r>
          </w:p>
        </w:tc>
        <w:tc>
          <w:tcPr>
            <w:tcW w:w="2648" w:type="dxa"/>
            <w:vMerge w:val="continue"/>
            <w:vAlign w:val="center"/>
          </w:tcPr>
          <w:p w14:paraId="453FE545">
            <w:pPr>
              <w:widowControl/>
              <w:textAlignment w:val="center"/>
              <w:rPr>
                <w:rStyle w:val="20"/>
                <w:rFonts w:hint="default" w:ascii="仿宋" w:hAnsi="仿宋" w:eastAsia="仿宋"/>
                <w:color w:val="auto"/>
                <w:lang w:bidi="ar"/>
              </w:rPr>
            </w:pPr>
          </w:p>
        </w:tc>
      </w:tr>
      <w:tr w14:paraId="7969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69E98AF1">
            <w:pPr>
              <w:jc w:val="center"/>
              <w:rPr>
                <w:rFonts w:hint="eastAsia" w:ascii="仿宋" w:hAnsi="仿宋" w:eastAsia="仿宋" w:cs="宋体"/>
                <w:sz w:val="24"/>
              </w:rPr>
            </w:pPr>
          </w:p>
        </w:tc>
        <w:tc>
          <w:tcPr>
            <w:tcW w:w="829" w:type="dxa"/>
            <w:vMerge w:val="continue"/>
            <w:vAlign w:val="center"/>
          </w:tcPr>
          <w:p w14:paraId="03DCD982">
            <w:pPr>
              <w:jc w:val="center"/>
              <w:rPr>
                <w:rFonts w:hint="eastAsia" w:ascii="仿宋" w:hAnsi="仿宋" w:eastAsia="仿宋" w:cs="宋体"/>
                <w:sz w:val="24"/>
              </w:rPr>
            </w:pPr>
          </w:p>
        </w:tc>
        <w:tc>
          <w:tcPr>
            <w:tcW w:w="3869" w:type="dxa"/>
            <w:vAlign w:val="center"/>
          </w:tcPr>
          <w:p w14:paraId="03BA81F4">
            <w:pPr>
              <w:widowControl/>
              <w:textAlignment w:val="center"/>
              <w:rPr>
                <w:rFonts w:hint="eastAsia" w:ascii="仿宋" w:hAnsi="仿宋" w:eastAsia="仿宋" w:cs="宋体"/>
                <w:sz w:val="24"/>
              </w:rPr>
            </w:pPr>
            <w:r>
              <w:rPr>
                <w:rFonts w:hint="eastAsia" w:ascii="仿宋" w:hAnsi="仿宋" w:eastAsia="仿宋" w:cs="宋体"/>
                <w:sz w:val="24"/>
              </w:rPr>
              <w:t>3.</w:t>
            </w:r>
            <w:r>
              <w:rPr>
                <w:rFonts w:hint="eastAsia" w:ascii="仿宋" w:hAnsi="仿宋" w:eastAsia="仿宋" w:cs="宋体"/>
                <w:kern w:val="0"/>
                <w:sz w:val="24"/>
              </w:rPr>
              <w:t>获得水文、水利方面专利或软著，每提供一份得1分，最高计4分，未提供的不得分。</w:t>
            </w:r>
          </w:p>
        </w:tc>
        <w:tc>
          <w:tcPr>
            <w:tcW w:w="604" w:type="dxa"/>
            <w:vAlign w:val="center"/>
          </w:tcPr>
          <w:p w14:paraId="2D773844">
            <w:pPr>
              <w:widowControl/>
              <w:jc w:val="center"/>
              <w:textAlignment w:val="center"/>
              <w:rPr>
                <w:rFonts w:hint="eastAsia" w:ascii="仿宋" w:hAnsi="仿宋" w:eastAsia="仿宋" w:cs="宋体"/>
                <w:sz w:val="24"/>
              </w:rPr>
            </w:pPr>
            <w:r>
              <w:rPr>
                <w:rFonts w:hint="eastAsia" w:ascii="仿宋" w:hAnsi="仿宋" w:eastAsia="仿宋" w:cs="宋体"/>
                <w:sz w:val="24"/>
                <w:lang w:bidi="ar"/>
              </w:rPr>
              <w:t>4</w:t>
            </w:r>
          </w:p>
        </w:tc>
        <w:tc>
          <w:tcPr>
            <w:tcW w:w="2648" w:type="dxa"/>
            <w:vMerge w:val="continue"/>
            <w:vAlign w:val="center"/>
          </w:tcPr>
          <w:p w14:paraId="725CE11C">
            <w:pPr>
              <w:rPr>
                <w:rFonts w:hint="eastAsia" w:ascii="仿宋" w:hAnsi="仿宋" w:eastAsia="仿宋" w:cs="宋体"/>
                <w:sz w:val="24"/>
              </w:rPr>
            </w:pPr>
          </w:p>
        </w:tc>
      </w:tr>
      <w:tr w14:paraId="41B3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shd w:val="clear" w:color="auto" w:fill="FFFFFF"/>
            <w:vAlign w:val="center"/>
          </w:tcPr>
          <w:p w14:paraId="04FDDAF0">
            <w:pPr>
              <w:widowControl/>
              <w:jc w:val="center"/>
              <w:textAlignment w:val="center"/>
              <w:rPr>
                <w:rFonts w:hint="eastAsia" w:ascii="仿宋" w:hAnsi="仿宋" w:eastAsia="仿宋" w:cs="宋体"/>
                <w:sz w:val="24"/>
                <w:lang w:val="en-US" w:eastAsia="zh-CN"/>
              </w:rPr>
            </w:pPr>
            <w:r>
              <w:rPr>
                <w:rFonts w:hint="eastAsia" w:ascii="仿宋" w:hAnsi="仿宋" w:eastAsia="仿宋" w:cs="宋体"/>
                <w:sz w:val="24"/>
                <w:lang w:val="en-US" w:eastAsia="zh-CN"/>
              </w:rPr>
              <w:t>三</w:t>
            </w:r>
          </w:p>
        </w:tc>
        <w:tc>
          <w:tcPr>
            <w:tcW w:w="829" w:type="dxa"/>
            <w:shd w:val="clear" w:color="auto" w:fill="FFFFFF"/>
            <w:vAlign w:val="center"/>
          </w:tcPr>
          <w:p w14:paraId="776EB64B">
            <w:pPr>
              <w:widowControl/>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实施经验</w:t>
            </w:r>
          </w:p>
        </w:tc>
        <w:tc>
          <w:tcPr>
            <w:tcW w:w="3869" w:type="dxa"/>
            <w:shd w:val="clear" w:color="auto" w:fill="FFFFFF"/>
            <w:vAlign w:val="center"/>
          </w:tcPr>
          <w:p w14:paraId="1D81888C">
            <w:pPr>
              <w:widowControl/>
              <w:textAlignment w:val="center"/>
              <w:rPr>
                <w:rFonts w:hint="eastAsia" w:ascii="仿宋" w:hAnsi="仿宋" w:eastAsia="仿宋" w:cs="宋体"/>
                <w:sz w:val="24"/>
              </w:rPr>
            </w:pPr>
            <w:r>
              <w:rPr>
                <w:rFonts w:hint="eastAsia" w:ascii="仿宋" w:hAnsi="仿宋" w:eastAsia="仿宋" w:cs="宋体"/>
                <w:kern w:val="0"/>
                <w:sz w:val="24"/>
              </w:rPr>
              <w:t>投标人自2020年1月1日至今完成的同类项目业绩（同类项目业绩指水文水资源数据、模型研究），时间以合同签订时间为准。每提供一份得</w:t>
            </w:r>
            <w:r>
              <w:rPr>
                <w:rFonts w:hint="eastAsia" w:ascii="仿宋" w:hAnsi="仿宋" w:eastAsia="仿宋" w:cs="宋体"/>
                <w:kern w:val="0"/>
                <w:sz w:val="24"/>
                <w:lang w:val="en-US" w:eastAsia="zh-CN"/>
              </w:rPr>
              <w:t>5</w:t>
            </w:r>
            <w:r>
              <w:rPr>
                <w:rFonts w:hint="eastAsia" w:ascii="仿宋" w:hAnsi="仿宋" w:eastAsia="仿宋" w:cs="宋体"/>
                <w:kern w:val="0"/>
                <w:sz w:val="24"/>
              </w:rPr>
              <w:t>分，最高计</w:t>
            </w:r>
            <w:r>
              <w:rPr>
                <w:rFonts w:hint="eastAsia" w:ascii="仿宋" w:hAnsi="仿宋" w:eastAsia="仿宋" w:cs="宋体"/>
                <w:kern w:val="0"/>
                <w:sz w:val="24"/>
                <w:lang w:val="en-US" w:eastAsia="zh-CN"/>
              </w:rPr>
              <w:t>20</w:t>
            </w:r>
            <w:r>
              <w:rPr>
                <w:rFonts w:hint="eastAsia" w:ascii="仿宋" w:hAnsi="仿宋" w:eastAsia="仿宋" w:cs="宋体"/>
                <w:kern w:val="0"/>
                <w:sz w:val="24"/>
              </w:rPr>
              <w:t>分，未提供的不得分。</w:t>
            </w:r>
          </w:p>
        </w:tc>
        <w:tc>
          <w:tcPr>
            <w:tcW w:w="604" w:type="dxa"/>
            <w:shd w:val="clear" w:color="auto" w:fill="FFFFFF"/>
            <w:vAlign w:val="center"/>
          </w:tcPr>
          <w:p w14:paraId="5C711512">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20</w:t>
            </w:r>
          </w:p>
        </w:tc>
        <w:tc>
          <w:tcPr>
            <w:tcW w:w="2648" w:type="dxa"/>
            <w:shd w:val="clear" w:color="auto" w:fill="FFFFFF"/>
            <w:vAlign w:val="center"/>
          </w:tcPr>
          <w:p w14:paraId="0B96CC01">
            <w:pPr>
              <w:widowControl/>
              <w:jc w:val="left"/>
              <w:textAlignment w:val="center"/>
              <w:rPr>
                <w:rFonts w:hint="eastAsia" w:ascii="仿宋" w:hAnsi="仿宋" w:eastAsia="仿宋" w:cs="宋体"/>
                <w:sz w:val="24"/>
              </w:rPr>
            </w:pPr>
            <w:r>
              <w:rPr>
                <w:rFonts w:hint="eastAsia" w:ascii="仿宋" w:hAnsi="仿宋" w:eastAsia="仿宋" w:cs="宋体"/>
                <w:kern w:val="0"/>
                <w:sz w:val="24"/>
              </w:rPr>
              <w:t>需提供合同原件或复印件加盖公章</w:t>
            </w:r>
          </w:p>
        </w:tc>
      </w:tr>
      <w:tr w14:paraId="5D37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25" w:type="dxa"/>
            <w:gridSpan w:val="3"/>
            <w:vAlign w:val="center"/>
          </w:tcPr>
          <w:p w14:paraId="7E4ABD21">
            <w:pPr>
              <w:jc w:val="center"/>
              <w:rPr>
                <w:rFonts w:hint="eastAsia" w:ascii="仿宋" w:hAnsi="仿宋" w:eastAsia="仿宋" w:cs="宋体"/>
                <w:sz w:val="24"/>
              </w:rPr>
            </w:pPr>
            <w:r>
              <w:rPr>
                <w:rFonts w:hint="eastAsia" w:ascii="仿宋" w:hAnsi="仿宋" w:eastAsia="仿宋" w:cs="宋体"/>
                <w:b/>
                <w:sz w:val="24"/>
                <w:lang w:bidi="ar"/>
              </w:rPr>
              <w:t>技术评审</w:t>
            </w:r>
          </w:p>
        </w:tc>
        <w:tc>
          <w:tcPr>
            <w:tcW w:w="604" w:type="dxa"/>
            <w:vAlign w:val="center"/>
          </w:tcPr>
          <w:p w14:paraId="2BDFC369">
            <w:pPr>
              <w:widowControl/>
              <w:jc w:val="center"/>
              <w:textAlignment w:val="center"/>
              <w:rPr>
                <w:rFonts w:hint="eastAsia" w:ascii="仿宋" w:hAnsi="仿宋" w:eastAsia="仿宋" w:cs="宋体"/>
                <w:b/>
                <w:sz w:val="24"/>
              </w:rPr>
            </w:pPr>
            <w:r>
              <w:rPr>
                <w:rFonts w:hint="eastAsia" w:ascii="仿宋" w:hAnsi="仿宋" w:eastAsia="仿宋" w:cs="宋体"/>
                <w:b/>
                <w:sz w:val="24"/>
                <w:lang w:val="en-US" w:eastAsia="zh-CN" w:bidi="ar"/>
              </w:rPr>
              <w:t>4</w:t>
            </w:r>
            <w:r>
              <w:rPr>
                <w:rFonts w:hint="eastAsia" w:ascii="仿宋" w:hAnsi="仿宋" w:eastAsia="仿宋" w:cs="宋体"/>
                <w:b/>
                <w:sz w:val="24"/>
                <w:lang w:bidi="ar"/>
              </w:rPr>
              <w:t>0</w:t>
            </w:r>
          </w:p>
        </w:tc>
        <w:tc>
          <w:tcPr>
            <w:tcW w:w="2648" w:type="dxa"/>
            <w:vAlign w:val="bottom"/>
          </w:tcPr>
          <w:p w14:paraId="6C13AC2D">
            <w:pPr>
              <w:rPr>
                <w:rFonts w:hint="eastAsia" w:ascii="仿宋" w:hAnsi="仿宋" w:eastAsia="仿宋" w:cs="宋体"/>
                <w:sz w:val="24"/>
              </w:rPr>
            </w:pPr>
          </w:p>
        </w:tc>
      </w:tr>
      <w:tr w14:paraId="7213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restart"/>
            <w:vAlign w:val="center"/>
          </w:tcPr>
          <w:p w14:paraId="14A7E8CB">
            <w:pPr>
              <w:widowControl/>
              <w:jc w:val="center"/>
              <w:textAlignment w:val="center"/>
              <w:rPr>
                <w:rFonts w:hint="eastAsia" w:ascii="仿宋" w:hAnsi="仿宋" w:eastAsia="仿宋" w:cs="宋体"/>
                <w:sz w:val="24"/>
              </w:rPr>
            </w:pPr>
            <w:r>
              <w:rPr>
                <w:rFonts w:hint="eastAsia" w:ascii="仿宋" w:hAnsi="仿宋" w:eastAsia="仿宋" w:cs="宋体"/>
                <w:sz w:val="24"/>
                <w:lang w:bidi="ar"/>
              </w:rPr>
              <w:t>一</w:t>
            </w:r>
          </w:p>
        </w:tc>
        <w:tc>
          <w:tcPr>
            <w:tcW w:w="829" w:type="dxa"/>
            <w:vMerge w:val="restart"/>
            <w:vAlign w:val="center"/>
          </w:tcPr>
          <w:p w14:paraId="1DC0621E">
            <w:pPr>
              <w:widowControl/>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bidi="ar"/>
              </w:rPr>
              <w:t>申报材料的完整性</w:t>
            </w:r>
          </w:p>
        </w:tc>
        <w:tc>
          <w:tcPr>
            <w:tcW w:w="3869" w:type="dxa"/>
            <w:vAlign w:val="center"/>
          </w:tcPr>
          <w:p w14:paraId="0EF506F7">
            <w:pPr>
              <w:widowControl/>
              <w:rPr>
                <w:rFonts w:hint="eastAsia" w:ascii="仿宋" w:hAnsi="仿宋" w:eastAsia="仿宋" w:cs="宋体"/>
                <w:sz w:val="24"/>
              </w:rPr>
            </w:pPr>
            <w:r>
              <w:rPr>
                <w:rFonts w:hint="eastAsia" w:ascii="仿宋" w:hAnsi="仿宋" w:eastAsia="仿宋" w:cs="宋体"/>
                <w:sz w:val="24"/>
              </w:rPr>
              <w:t>1.需求理解</w:t>
            </w:r>
          </w:p>
          <w:p w14:paraId="720B11A9">
            <w:pPr>
              <w:widowControl/>
              <w:textAlignment w:val="center"/>
              <w:rPr>
                <w:rFonts w:hint="eastAsia" w:ascii="仿宋" w:hAnsi="仿宋" w:eastAsia="仿宋" w:cs="宋体"/>
                <w:sz w:val="24"/>
              </w:rPr>
            </w:pPr>
            <w:r>
              <w:rPr>
                <w:rFonts w:hint="eastAsia" w:ascii="仿宋" w:hAnsi="仿宋" w:eastAsia="仿宋" w:cs="宋体"/>
                <w:sz w:val="24"/>
              </w:rPr>
              <w:t>根据投标人提供的项目目标和需求的理解准确、完整，提供的方案结构清晰、合理、可操作性强，符合招标文件要求，满足项目全部需求，针对各项具体需求，分别明确列出有效、全面的实施内容，最优的得标准分，依次递减1分，直至0分。</w:t>
            </w:r>
          </w:p>
        </w:tc>
        <w:tc>
          <w:tcPr>
            <w:tcW w:w="604" w:type="dxa"/>
            <w:vAlign w:val="center"/>
          </w:tcPr>
          <w:p w14:paraId="619C4562">
            <w:pPr>
              <w:widowControl/>
              <w:jc w:val="center"/>
              <w:textAlignment w:val="center"/>
              <w:rPr>
                <w:rFonts w:hint="eastAsia" w:ascii="仿宋" w:hAnsi="仿宋" w:eastAsia="仿宋" w:cs="宋体"/>
                <w:sz w:val="24"/>
                <w:lang w:val="en-US" w:eastAsia="zh-CN"/>
              </w:rPr>
            </w:pPr>
            <w:r>
              <w:rPr>
                <w:rFonts w:hint="eastAsia" w:ascii="仿宋" w:hAnsi="仿宋" w:eastAsia="仿宋" w:cs="宋体"/>
                <w:sz w:val="24"/>
                <w:lang w:val="en-US" w:eastAsia="zh-CN"/>
              </w:rPr>
              <w:t>4</w:t>
            </w:r>
          </w:p>
        </w:tc>
        <w:tc>
          <w:tcPr>
            <w:tcW w:w="2648" w:type="dxa"/>
            <w:vAlign w:val="bottom"/>
          </w:tcPr>
          <w:p w14:paraId="160FBB97">
            <w:pPr>
              <w:rPr>
                <w:rFonts w:hint="eastAsia" w:ascii="仿宋" w:hAnsi="仿宋" w:eastAsia="仿宋" w:cs="宋体"/>
                <w:sz w:val="24"/>
              </w:rPr>
            </w:pPr>
          </w:p>
        </w:tc>
      </w:tr>
      <w:tr w14:paraId="12BF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4D08E57E">
            <w:pPr>
              <w:jc w:val="center"/>
              <w:rPr>
                <w:rFonts w:hint="eastAsia" w:ascii="仿宋" w:hAnsi="仿宋" w:eastAsia="仿宋" w:cs="宋体"/>
                <w:sz w:val="24"/>
              </w:rPr>
            </w:pPr>
          </w:p>
        </w:tc>
        <w:tc>
          <w:tcPr>
            <w:tcW w:w="829" w:type="dxa"/>
            <w:vMerge w:val="continue"/>
            <w:vAlign w:val="center"/>
          </w:tcPr>
          <w:p w14:paraId="1F1FA12C">
            <w:pPr>
              <w:jc w:val="center"/>
              <w:rPr>
                <w:rFonts w:hint="eastAsia" w:ascii="仿宋" w:hAnsi="仿宋" w:eastAsia="仿宋" w:cs="宋体"/>
                <w:sz w:val="24"/>
              </w:rPr>
            </w:pPr>
          </w:p>
        </w:tc>
        <w:tc>
          <w:tcPr>
            <w:tcW w:w="3869" w:type="dxa"/>
            <w:vAlign w:val="center"/>
          </w:tcPr>
          <w:p w14:paraId="60705F93">
            <w:pPr>
              <w:widowControl/>
              <w:rPr>
                <w:rFonts w:hint="eastAsia" w:ascii="仿宋" w:hAnsi="仿宋" w:eastAsia="仿宋" w:cs="宋体"/>
                <w:sz w:val="24"/>
              </w:rPr>
            </w:pPr>
            <w:r>
              <w:rPr>
                <w:rFonts w:hint="eastAsia" w:ascii="仿宋" w:hAnsi="仿宋" w:eastAsia="仿宋" w:cs="宋体"/>
                <w:sz w:val="24"/>
              </w:rPr>
              <w:t>2.实施方案</w:t>
            </w:r>
          </w:p>
          <w:p w14:paraId="691198B3">
            <w:pPr>
              <w:widowControl/>
              <w:rPr>
                <w:rFonts w:hint="eastAsia" w:ascii="仿宋" w:hAnsi="仿宋" w:eastAsia="仿宋" w:cs="宋体"/>
                <w:sz w:val="24"/>
              </w:rPr>
            </w:pPr>
            <w:r>
              <w:rPr>
                <w:rFonts w:hint="eastAsia" w:ascii="仿宋" w:hAnsi="仿宋" w:eastAsia="仿宋" w:cs="宋体"/>
                <w:kern w:val="0"/>
                <w:sz w:val="24"/>
              </w:rPr>
              <w:t>方案内容全面且详实，精准契合项目要求，研究方法和技术路线切实可行，研究依据充分方法严谨，具有创新性的得15-11分；方案内容较为完整，关键要素基本齐全，目标较为明确，研究方法和技术路线具有一定的可行性，基本符合科学规范，但创新性不足，得10-6；方案内容不完整，关键要素缺失较多，与研究问题关联不紧密，研究方法和技术路线不切实际，研究依据不充分，理论基础薄弱得5-1分，未提供不得分。</w:t>
            </w:r>
          </w:p>
        </w:tc>
        <w:tc>
          <w:tcPr>
            <w:tcW w:w="604" w:type="dxa"/>
            <w:vAlign w:val="center"/>
          </w:tcPr>
          <w:p w14:paraId="3B00B675">
            <w:pPr>
              <w:widowControl/>
              <w:jc w:val="center"/>
              <w:textAlignment w:val="center"/>
              <w:rPr>
                <w:rFonts w:hint="eastAsia" w:ascii="仿宋" w:hAnsi="仿宋" w:eastAsia="仿宋" w:cs="宋体"/>
                <w:sz w:val="24"/>
                <w:lang w:eastAsia="zh-CN"/>
              </w:rPr>
            </w:pPr>
            <w:r>
              <w:rPr>
                <w:rFonts w:hint="eastAsia" w:ascii="仿宋" w:hAnsi="仿宋" w:eastAsia="仿宋" w:cs="宋体"/>
                <w:sz w:val="24"/>
                <w:lang w:val="en-US" w:eastAsia="zh-CN" w:bidi="ar"/>
              </w:rPr>
              <w:t>4</w:t>
            </w:r>
          </w:p>
        </w:tc>
        <w:tc>
          <w:tcPr>
            <w:tcW w:w="2648" w:type="dxa"/>
            <w:vAlign w:val="center"/>
          </w:tcPr>
          <w:p w14:paraId="30FBFBBC">
            <w:pPr>
              <w:widowControl/>
              <w:jc w:val="left"/>
              <w:textAlignment w:val="center"/>
              <w:rPr>
                <w:rFonts w:hint="eastAsia" w:ascii="仿宋" w:hAnsi="仿宋" w:eastAsia="仿宋" w:cs="宋体"/>
                <w:sz w:val="24"/>
              </w:rPr>
            </w:pPr>
          </w:p>
        </w:tc>
      </w:tr>
      <w:tr w14:paraId="4238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5C698750">
            <w:pPr>
              <w:jc w:val="center"/>
              <w:rPr>
                <w:rFonts w:hint="eastAsia" w:ascii="仿宋" w:hAnsi="仿宋" w:eastAsia="仿宋" w:cs="宋体"/>
                <w:sz w:val="24"/>
              </w:rPr>
            </w:pPr>
          </w:p>
        </w:tc>
        <w:tc>
          <w:tcPr>
            <w:tcW w:w="829" w:type="dxa"/>
            <w:vMerge w:val="continue"/>
            <w:vAlign w:val="center"/>
          </w:tcPr>
          <w:p w14:paraId="288F1ECC">
            <w:pPr>
              <w:jc w:val="center"/>
              <w:rPr>
                <w:rFonts w:hint="eastAsia" w:ascii="仿宋" w:hAnsi="仿宋" w:eastAsia="仿宋" w:cs="宋体"/>
                <w:sz w:val="24"/>
              </w:rPr>
            </w:pPr>
          </w:p>
        </w:tc>
        <w:tc>
          <w:tcPr>
            <w:tcW w:w="3869" w:type="dxa"/>
            <w:vAlign w:val="center"/>
          </w:tcPr>
          <w:p w14:paraId="240E9441">
            <w:pPr>
              <w:widowControl/>
              <w:tabs>
                <w:tab w:val="left" w:pos="312"/>
              </w:tabs>
              <w:rPr>
                <w:rFonts w:hint="eastAsia" w:ascii="仿宋" w:hAnsi="仿宋" w:eastAsia="仿宋" w:cs="宋体"/>
                <w:sz w:val="24"/>
              </w:rPr>
            </w:pPr>
            <w:r>
              <w:rPr>
                <w:rFonts w:hint="eastAsia" w:ascii="仿宋" w:hAnsi="仿宋" w:eastAsia="仿宋" w:cs="宋体"/>
                <w:sz w:val="24"/>
              </w:rPr>
              <w:t>3.</w:t>
            </w:r>
            <w:r>
              <w:rPr>
                <w:rFonts w:hint="eastAsia" w:ascii="仿宋" w:hAnsi="仿宋" w:eastAsia="仿宋" w:cs="宋体"/>
                <w:kern w:val="0"/>
                <w:sz w:val="24"/>
              </w:rPr>
              <w:t>项目拟取得的成果情况</w:t>
            </w:r>
          </w:p>
          <w:p w14:paraId="586FB372">
            <w:pPr>
              <w:widowControl/>
              <w:rPr>
                <w:rFonts w:hint="eastAsia" w:ascii="仿宋" w:hAnsi="仿宋" w:eastAsia="仿宋"/>
                <w:sz w:val="24"/>
              </w:rPr>
            </w:pPr>
            <w:r>
              <w:rPr>
                <w:rFonts w:hint="eastAsia" w:ascii="仿宋" w:hAnsi="仿宋" w:eastAsia="仿宋" w:cs="宋体"/>
                <w:kern w:val="0"/>
                <w:sz w:val="24"/>
              </w:rPr>
              <w:t>成果目标明确，技术路线清晰，创新性强，提出突破性解决方案，可形成专利、标准或示范效应，可持续性高，风险应对措施完善，落地性强的得9-7分；成果满足项目基本需求，目标合理，技术方案可行，具备一定创新或优化，能解决关键问题具有明确应用价值，风险可控的得6-4分；成果目标模糊，存在明显漏洞缺乏创新性，依赖常规方法，风险应对措施缺失，落地可行性低的得3-1分，未提供不得分。</w:t>
            </w:r>
          </w:p>
        </w:tc>
        <w:tc>
          <w:tcPr>
            <w:tcW w:w="604" w:type="dxa"/>
            <w:vAlign w:val="center"/>
          </w:tcPr>
          <w:p w14:paraId="199F9C20">
            <w:pPr>
              <w:widowControl/>
              <w:jc w:val="center"/>
              <w:textAlignment w:val="center"/>
              <w:rPr>
                <w:rFonts w:hint="eastAsia" w:ascii="仿宋" w:hAnsi="仿宋" w:eastAsia="仿宋" w:cs="宋体"/>
                <w:sz w:val="24"/>
                <w:lang w:eastAsia="zh-CN" w:bidi="ar"/>
              </w:rPr>
            </w:pPr>
            <w:r>
              <w:rPr>
                <w:rFonts w:hint="eastAsia" w:ascii="仿宋" w:hAnsi="仿宋" w:eastAsia="仿宋" w:cs="宋体"/>
                <w:sz w:val="24"/>
                <w:lang w:val="en-US" w:eastAsia="zh-CN" w:bidi="ar"/>
              </w:rPr>
              <w:t>4</w:t>
            </w:r>
          </w:p>
        </w:tc>
        <w:tc>
          <w:tcPr>
            <w:tcW w:w="2648" w:type="dxa"/>
            <w:vAlign w:val="center"/>
          </w:tcPr>
          <w:p w14:paraId="5C3C1E65">
            <w:pPr>
              <w:widowControl/>
              <w:jc w:val="left"/>
              <w:textAlignment w:val="center"/>
              <w:rPr>
                <w:rFonts w:hint="eastAsia" w:ascii="仿宋" w:hAnsi="仿宋" w:eastAsia="仿宋" w:cs="宋体"/>
                <w:sz w:val="24"/>
              </w:rPr>
            </w:pPr>
          </w:p>
        </w:tc>
      </w:tr>
      <w:tr w14:paraId="4DFB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07C2ACEA">
            <w:pPr>
              <w:jc w:val="center"/>
              <w:rPr>
                <w:rFonts w:hint="eastAsia" w:ascii="仿宋" w:hAnsi="仿宋" w:eastAsia="仿宋" w:cs="宋体"/>
                <w:sz w:val="24"/>
              </w:rPr>
            </w:pPr>
          </w:p>
        </w:tc>
        <w:tc>
          <w:tcPr>
            <w:tcW w:w="829" w:type="dxa"/>
            <w:vMerge w:val="continue"/>
            <w:vAlign w:val="center"/>
          </w:tcPr>
          <w:p w14:paraId="603316B8">
            <w:pPr>
              <w:jc w:val="center"/>
              <w:rPr>
                <w:rFonts w:hint="eastAsia" w:ascii="仿宋" w:hAnsi="仿宋" w:eastAsia="仿宋" w:cs="宋体"/>
                <w:sz w:val="24"/>
              </w:rPr>
            </w:pPr>
          </w:p>
        </w:tc>
        <w:tc>
          <w:tcPr>
            <w:tcW w:w="3869" w:type="dxa"/>
            <w:vAlign w:val="center"/>
          </w:tcPr>
          <w:p w14:paraId="198623B4">
            <w:pPr>
              <w:widowControl/>
              <w:rPr>
                <w:rFonts w:hint="eastAsia" w:ascii="仿宋" w:hAnsi="仿宋" w:eastAsia="仿宋" w:cs="宋体"/>
                <w:sz w:val="24"/>
              </w:rPr>
            </w:pPr>
            <w:r>
              <w:rPr>
                <w:rFonts w:hint="eastAsia" w:ascii="仿宋" w:hAnsi="仿宋" w:eastAsia="仿宋" w:cs="宋体"/>
                <w:sz w:val="24"/>
              </w:rPr>
              <w:t>4.</w:t>
            </w:r>
            <w:r>
              <w:rPr>
                <w:rFonts w:hint="eastAsia" w:ascii="仿宋" w:hAnsi="仿宋" w:eastAsia="仿宋" w:cs="宋体"/>
                <w:kern w:val="0"/>
                <w:sz w:val="24"/>
              </w:rPr>
              <w:t>进度保证措施</w:t>
            </w:r>
          </w:p>
          <w:p w14:paraId="495523B9">
            <w:pPr>
              <w:widowControl/>
              <w:rPr>
                <w:rFonts w:hint="eastAsia" w:ascii="仿宋" w:hAnsi="仿宋" w:eastAsia="仿宋" w:cs="宋体"/>
                <w:sz w:val="24"/>
              </w:rPr>
            </w:pPr>
            <w:r>
              <w:rPr>
                <w:rFonts w:hint="eastAsia" w:ascii="仿宋" w:hAnsi="仿宋" w:eastAsia="仿宋" w:cs="宋体"/>
                <w:sz w:val="24"/>
              </w:rPr>
              <w:t>根据投标人服务中拟采取的进度保障方案，包括项目进度措施、进度计划、进度监控、沟通协调等，提供的方案科学、完整、合理、详尽，最优的得标准分，其余依次递减1分，直至0分。</w:t>
            </w:r>
          </w:p>
        </w:tc>
        <w:tc>
          <w:tcPr>
            <w:tcW w:w="604" w:type="dxa"/>
            <w:vAlign w:val="center"/>
          </w:tcPr>
          <w:p w14:paraId="32E25696">
            <w:pPr>
              <w:widowControl/>
              <w:jc w:val="center"/>
              <w:rPr>
                <w:rFonts w:hint="eastAsia" w:ascii="仿宋" w:hAnsi="仿宋" w:eastAsia="仿宋" w:cs="宋体"/>
                <w:sz w:val="24"/>
                <w:lang w:eastAsia="zh-CN"/>
              </w:rPr>
            </w:pPr>
            <w:r>
              <w:rPr>
                <w:rFonts w:hint="eastAsia" w:ascii="仿宋" w:hAnsi="仿宋" w:eastAsia="仿宋" w:cs="宋体"/>
                <w:sz w:val="24"/>
                <w:lang w:val="en-US" w:eastAsia="zh-CN"/>
              </w:rPr>
              <w:t>4</w:t>
            </w:r>
          </w:p>
        </w:tc>
        <w:tc>
          <w:tcPr>
            <w:tcW w:w="2648" w:type="dxa"/>
            <w:vAlign w:val="center"/>
          </w:tcPr>
          <w:p w14:paraId="7579E312">
            <w:pPr>
              <w:widowControl/>
              <w:jc w:val="left"/>
              <w:textAlignment w:val="center"/>
              <w:rPr>
                <w:rFonts w:hint="eastAsia" w:ascii="仿宋" w:hAnsi="仿宋" w:eastAsia="仿宋" w:cs="宋体"/>
                <w:sz w:val="24"/>
              </w:rPr>
            </w:pPr>
          </w:p>
        </w:tc>
      </w:tr>
      <w:tr w14:paraId="246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29E67B58">
            <w:pPr>
              <w:jc w:val="center"/>
              <w:rPr>
                <w:rFonts w:hint="eastAsia" w:ascii="仿宋" w:hAnsi="仿宋" w:eastAsia="仿宋" w:cs="宋体"/>
                <w:sz w:val="24"/>
              </w:rPr>
            </w:pPr>
          </w:p>
        </w:tc>
        <w:tc>
          <w:tcPr>
            <w:tcW w:w="829" w:type="dxa"/>
            <w:vMerge w:val="continue"/>
            <w:vAlign w:val="center"/>
          </w:tcPr>
          <w:p w14:paraId="43D82744">
            <w:pPr>
              <w:jc w:val="center"/>
              <w:rPr>
                <w:rFonts w:hint="eastAsia" w:ascii="仿宋" w:hAnsi="仿宋" w:eastAsia="仿宋" w:cs="宋体"/>
                <w:sz w:val="24"/>
              </w:rPr>
            </w:pPr>
          </w:p>
        </w:tc>
        <w:tc>
          <w:tcPr>
            <w:tcW w:w="3869" w:type="dxa"/>
            <w:vAlign w:val="center"/>
          </w:tcPr>
          <w:p w14:paraId="6C23EAE4">
            <w:pPr>
              <w:widowControl/>
              <w:textAlignment w:val="center"/>
              <w:rPr>
                <w:rFonts w:hint="eastAsia" w:ascii="仿宋" w:hAnsi="仿宋" w:eastAsia="仿宋" w:cs="宋体"/>
                <w:sz w:val="24"/>
              </w:rPr>
            </w:pPr>
            <w:r>
              <w:rPr>
                <w:rFonts w:hint="eastAsia" w:ascii="仿宋" w:hAnsi="仿宋" w:eastAsia="仿宋" w:cs="宋体"/>
                <w:sz w:val="24"/>
              </w:rPr>
              <w:t>5.</w:t>
            </w:r>
            <w:r>
              <w:rPr>
                <w:rFonts w:hint="eastAsia" w:ascii="仿宋" w:hAnsi="仿宋" w:eastAsia="仿宋" w:cs="宋体"/>
                <w:kern w:val="0"/>
                <w:sz w:val="24"/>
              </w:rPr>
              <w:t>服务质量安全保证措施</w:t>
            </w:r>
          </w:p>
          <w:p w14:paraId="5252BA9B">
            <w:pPr>
              <w:rPr>
                <w:rFonts w:hint="eastAsia" w:ascii="仿宋" w:hAnsi="仿宋" w:eastAsia="仿宋" w:cs="宋体"/>
                <w:sz w:val="24"/>
              </w:rPr>
            </w:pPr>
            <w:r>
              <w:rPr>
                <w:rFonts w:hint="eastAsia" w:ascii="仿宋" w:hAnsi="仿宋" w:eastAsia="仿宋" w:cs="宋体"/>
                <w:kern w:val="0"/>
                <w:sz w:val="24"/>
              </w:rPr>
              <w:t>措施详尽完善，力度强，预期效果显著的得7-5分；措施较完整，有一定力度，效果较明显的得4-2分；措施简略，力度弱，效果难保障的得1分，未提供不得分。</w:t>
            </w:r>
          </w:p>
        </w:tc>
        <w:tc>
          <w:tcPr>
            <w:tcW w:w="604" w:type="dxa"/>
            <w:vAlign w:val="center"/>
          </w:tcPr>
          <w:p w14:paraId="5BF48B66">
            <w:pPr>
              <w:widowControl/>
              <w:jc w:val="center"/>
              <w:textAlignment w:val="center"/>
              <w:rPr>
                <w:rFonts w:hint="eastAsia" w:ascii="仿宋" w:hAnsi="仿宋" w:eastAsia="仿宋" w:cs="宋体"/>
                <w:sz w:val="24"/>
                <w:lang w:eastAsia="zh-CN" w:bidi="ar"/>
              </w:rPr>
            </w:pPr>
            <w:r>
              <w:rPr>
                <w:rFonts w:hint="eastAsia" w:ascii="仿宋" w:hAnsi="仿宋" w:eastAsia="仿宋" w:cs="宋体"/>
                <w:sz w:val="24"/>
                <w:lang w:val="en-US" w:eastAsia="zh-CN" w:bidi="ar"/>
              </w:rPr>
              <w:t>4</w:t>
            </w:r>
          </w:p>
        </w:tc>
        <w:tc>
          <w:tcPr>
            <w:tcW w:w="2648" w:type="dxa"/>
            <w:vAlign w:val="center"/>
          </w:tcPr>
          <w:p w14:paraId="635EEF7F">
            <w:pPr>
              <w:widowControl/>
              <w:jc w:val="left"/>
              <w:textAlignment w:val="center"/>
              <w:rPr>
                <w:rFonts w:hint="eastAsia" w:ascii="仿宋" w:hAnsi="仿宋" w:eastAsia="仿宋" w:cs="宋体"/>
                <w:sz w:val="24"/>
              </w:rPr>
            </w:pPr>
          </w:p>
        </w:tc>
      </w:tr>
      <w:tr w14:paraId="0CBD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restart"/>
            <w:vAlign w:val="center"/>
          </w:tcPr>
          <w:p w14:paraId="2C67AFBD">
            <w:pPr>
              <w:widowControl/>
              <w:jc w:val="center"/>
              <w:textAlignment w:val="center"/>
              <w:rPr>
                <w:rFonts w:hint="default" w:ascii="仿宋" w:hAnsi="仿宋" w:eastAsia="仿宋" w:cs="宋体"/>
                <w:sz w:val="24"/>
                <w:lang w:val="en-US" w:eastAsia="zh-CN" w:bidi="ar"/>
              </w:rPr>
            </w:pPr>
            <w:r>
              <w:rPr>
                <w:rFonts w:hint="eastAsia" w:ascii="仿宋" w:hAnsi="仿宋" w:eastAsia="仿宋" w:cs="宋体"/>
                <w:sz w:val="24"/>
                <w:lang w:val="en-US" w:eastAsia="zh-CN" w:bidi="ar"/>
              </w:rPr>
              <w:t>二</w:t>
            </w:r>
            <w:bookmarkStart w:id="30" w:name="_GoBack"/>
            <w:bookmarkEnd w:id="30"/>
          </w:p>
        </w:tc>
        <w:tc>
          <w:tcPr>
            <w:tcW w:w="829" w:type="dxa"/>
            <w:vMerge w:val="restart"/>
            <w:vAlign w:val="center"/>
          </w:tcPr>
          <w:p w14:paraId="018F27C0">
            <w:pPr>
              <w:widowControl/>
              <w:jc w:val="center"/>
              <w:textAlignment w:val="center"/>
              <w:rPr>
                <w:rFonts w:hint="default" w:ascii="仿宋" w:hAnsi="仿宋" w:eastAsia="仿宋" w:cs="宋体"/>
                <w:sz w:val="24"/>
                <w:lang w:val="en-US" w:eastAsia="zh-CN" w:bidi="ar"/>
              </w:rPr>
            </w:pPr>
            <w:r>
              <w:rPr>
                <w:rFonts w:hint="eastAsia" w:ascii="仿宋" w:hAnsi="仿宋" w:eastAsia="仿宋" w:cs="宋体"/>
                <w:sz w:val="24"/>
                <w:lang w:val="en-US" w:eastAsia="zh-CN" w:bidi="ar"/>
              </w:rPr>
              <w:t>服务承诺</w:t>
            </w:r>
          </w:p>
        </w:tc>
        <w:tc>
          <w:tcPr>
            <w:tcW w:w="3869" w:type="dxa"/>
            <w:vAlign w:val="center"/>
          </w:tcPr>
          <w:p w14:paraId="29D7FC9B">
            <w:pPr>
              <w:rPr>
                <w:rFonts w:hint="eastAsia" w:ascii="仿宋" w:hAnsi="仿宋" w:eastAsia="仿宋"/>
                <w:sz w:val="24"/>
              </w:rPr>
            </w:pPr>
            <w:r>
              <w:rPr>
                <w:rFonts w:hint="eastAsia" w:ascii="仿宋" w:hAnsi="仿宋" w:eastAsia="仿宋" w:cs="宋体"/>
                <w:kern w:val="0"/>
                <w:sz w:val="24"/>
              </w:rPr>
              <w:t>根据投标人拟投入本项目的人员专业程度、数量酌情打</w:t>
            </w:r>
            <w:r>
              <w:rPr>
                <w:rFonts w:hint="eastAsia" w:ascii="仿宋" w:hAnsi="仿宋" w:eastAsia="仿宋" w:cs="宋体"/>
                <w:kern w:val="0"/>
                <w:sz w:val="24"/>
                <w:lang w:val="en-US" w:eastAsia="zh-CN"/>
              </w:rPr>
              <w:t>5</w:t>
            </w:r>
            <w:r>
              <w:rPr>
                <w:rFonts w:hint="eastAsia" w:ascii="仿宋" w:hAnsi="仿宋" w:eastAsia="仿宋" w:cs="宋体"/>
                <w:kern w:val="0"/>
                <w:sz w:val="24"/>
              </w:rPr>
              <w:t>-1分。其中，项目组高级职称超过</w:t>
            </w:r>
            <w:r>
              <w:rPr>
                <w:rFonts w:hint="eastAsia" w:ascii="仿宋" w:hAnsi="仿宋" w:eastAsia="仿宋" w:cs="宋体"/>
                <w:kern w:val="0"/>
                <w:sz w:val="24"/>
                <w:lang w:val="en-US" w:eastAsia="zh-CN"/>
              </w:rPr>
              <w:t>4</w:t>
            </w:r>
            <w:r>
              <w:rPr>
                <w:rFonts w:hint="eastAsia" w:ascii="仿宋" w:hAnsi="仿宋" w:eastAsia="仿宋" w:cs="宋体"/>
                <w:kern w:val="0"/>
                <w:sz w:val="24"/>
              </w:rPr>
              <w:t>人，得</w:t>
            </w:r>
            <w:r>
              <w:rPr>
                <w:rFonts w:hint="eastAsia" w:ascii="仿宋" w:hAnsi="仿宋" w:eastAsia="仿宋" w:cs="宋体"/>
                <w:kern w:val="0"/>
                <w:sz w:val="24"/>
                <w:lang w:val="en-US" w:eastAsia="zh-CN"/>
              </w:rPr>
              <w:t>5</w:t>
            </w:r>
            <w:r>
              <w:rPr>
                <w:rFonts w:hint="eastAsia" w:ascii="仿宋" w:hAnsi="仿宋" w:eastAsia="仿宋" w:cs="宋体"/>
                <w:kern w:val="0"/>
                <w:sz w:val="24"/>
              </w:rPr>
              <w:t>分；其余酌情打</w:t>
            </w:r>
            <w:r>
              <w:rPr>
                <w:rFonts w:hint="eastAsia" w:ascii="仿宋" w:hAnsi="仿宋" w:eastAsia="仿宋" w:cs="宋体"/>
                <w:kern w:val="0"/>
                <w:sz w:val="24"/>
                <w:lang w:val="en-US" w:eastAsia="zh-CN"/>
              </w:rPr>
              <w:t>4</w:t>
            </w:r>
            <w:r>
              <w:rPr>
                <w:rFonts w:hint="eastAsia" w:ascii="仿宋" w:hAnsi="仿宋" w:eastAsia="仿宋" w:cs="宋体"/>
                <w:kern w:val="0"/>
                <w:sz w:val="24"/>
              </w:rPr>
              <w:t>-1分。未提供不得分。</w:t>
            </w:r>
          </w:p>
        </w:tc>
        <w:tc>
          <w:tcPr>
            <w:tcW w:w="604" w:type="dxa"/>
            <w:vAlign w:val="center"/>
          </w:tcPr>
          <w:p w14:paraId="149D975C">
            <w:pPr>
              <w:widowControl/>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bidi="ar"/>
              </w:rPr>
              <w:t>5</w:t>
            </w:r>
          </w:p>
        </w:tc>
        <w:tc>
          <w:tcPr>
            <w:tcW w:w="2648" w:type="dxa"/>
            <w:vAlign w:val="center"/>
          </w:tcPr>
          <w:p w14:paraId="1AA22313">
            <w:pPr>
              <w:widowControl/>
              <w:textAlignment w:val="top"/>
              <w:rPr>
                <w:rFonts w:hint="eastAsia" w:ascii="仿宋" w:hAnsi="仿宋" w:eastAsia="仿宋" w:cs="宋体"/>
                <w:sz w:val="24"/>
              </w:rPr>
            </w:pPr>
            <w:r>
              <w:rPr>
                <w:rFonts w:hint="eastAsia" w:ascii="仿宋" w:hAnsi="仿宋" w:eastAsia="仿宋" w:cs="宋体"/>
                <w:kern w:val="0"/>
                <w:sz w:val="24"/>
                <w:lang w:bidi="ar"/>
              </w:rPr>
              <w:t>证书复印件加盖公章</w:t>
            </w:r>
          </w:p>
        </w:tc>
      </w:tr>
      <w:tr w14:paraId="14D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3B8946E3">
            <w:pPr>
              <w:jc w:val="center"/>
              <w:rPr>
                <w:rFonts w:hint="eastAsia" w:ascii="仿宋" w:hAnsi="仿宋" w:eastAsia="仿宋" w:cs="宋体"/>
                <w:sz w:val="24"/>
              </w:rPr>
            </w:pPr>
          </w:p>
        </w:tc>
        <w:tc>
          <w:tcPr>
            <w:tcW w:w="829" w:type="dxa"/>
            <w:vMerge w:val="continue"/>
            <w:vAlign w:val="center"/>
          </w:tcPr>
          <w:p w14:paraId="4BA7BD7B">
            <w:pPr>
              <w:jc w:val="center"/>
              <w:rPr>
                <w:rFonts w:hint="eastAsia" w:ascii="仿宋" w:hAnsi="仿宋" w:eastAsia="仿宋" w:cs="宋体"/>
                <w:sz w:val="24"/>
              </w:rPr>
            </w:pPr>
          </w:p>
        </w:tc>
        <w:tc>
          <w:tcPr>
            <w:tcW w:w="3869" w:type="dxa"/>
            <w:vAlign w:val="center"/>
          </w:tcPr>
          <w:p w14:paraId="032CDFC1">
            <w:pPr>
              <w:pStyle w:val="12"/>
              <w:spacing w:after="0"/>
              <w:ind w:firstLine="0" w:firstLineChars="0"/>
              <w:rPr>
                <w:rFonts w:hint="eastAsia" w:ascii="仿宋" w:hAnsi="仿宋" w:eastAsia="仿宋" w:cs="宋体"/>
                <w:color w:val="auto"/>
                <w:kern w:val="0"/>
                <w:sz w:val="24"/>
                <w:lang w:val="en-US" w:bidi="ar"/>
              </w:rPr>
            </w:pPr>
            <w:r>
              <w:rPr>
                <w:rFonts w:hint="eastAsia" w:ascii="仿宋" w:hAnsi="仿宋" w:eastAsia="仿宋" w:cs="宋体"/>
                <w:color w:val="auto"/>
                <w:kern w:val="0"/>
                <w:sz w:val="24"/>
              </w:rPr>
              <w:t>根据投标人拟投入本项目的仪器设备的数量、质量、先进性和软件条件等酌情打</w:t>
            </w:r>
            <w:r>
              <w:rPr>
                <w:rFonts w:hint="eastAsia" w:ascii="仿宋" w:hAnsi="仿宋" w:eastAsia="仿宋" w:cs="宋体"/>
                <w:color w:val="auto"/>
                <w:kern w:val="0"/>
                <w:sz w:val="24"/>
                <w:lang w:val="en-US"/>
              </w:rPr>
              <w:t>5</w:t>
            </w:r>
            <w:r>
              <w:rPr>
                <w:rFonts w:hint="eastAsia" w:ascii="仿宋" w:hAnsi="仿宋" w:eastAsia="仿宋" w:cs="宋体"/>
                <w:color w:val="auto"/>
                <w:kern w:val="0"/>
                <w:sz w:val="24"/>
              </w:rPr>
              <w:t>-1分。未提供不得分</w:t>
            </w:r>
            <w:r>
              <w:rPr>
                <w:rFonts w:hint="eastAsia" w:ascii="仿宋" w:hAnsi="仿宋" w:eastAsia="仿宋" w:cs="宋体"/>
                <w:color w:val="auto"/>
                <w:sz w:val="24"/>
              </w:rPr>
              <w:t>。</w:t>
            </w:r>
          </w:p>
        </w:tc>
        <w:tc>
          <w:tcPr>
            <w:tcW w:w="604" w:type="dxa"/>
            <w:vAlign w:val="center"/>
          </w:tcPr>
          <w:p w14:paraId="6CAA16C2">
            <w:pPr>
              <w:widowControl/>
              <w:jc w:val="center"/>
              <w:textAlignment w:val="center"/>
              <w:rPr>
                <w:rFonts w:hint="eastAsia" w:ascii="仿宋" w:hAnsi="仿宋" w:eastAsia="仿宋" w:cs="宋体"/>
                <w:sz w:val="24"/>
                <w:lang w:bidi="ar"/>
              </w:rPr>
            </w:pPr>
            <w:r>
              <w:rPr>
                <w:rFonts w:hint="eastAsia" w:ascii="仿宋" w:hAnsi="仿宋" w:eastAsia="仿宋" w:cs="宋体"/>
                <w:sz w:val="24"/>
                <w:lang w:bidi="ar"/>
              </w:rPr>
              <w:t>5</w:t>
            </w:r>
          </w:p>
        </w:tc>
        <w:tc>
          <w:tcPr>
            <w:tcW w:w="2648" w:type="dxa"/>
            <w:vAlign w:val="center"/>
          </w:tcPr>
          <w:p w14:paraId="07990170">
            <w:pPr>
              <w:widowControl/>
              <w:jc w:val="center"/>
              <w:textAlignment w:val="top"/>
              <w:rPr>
                <w:rFonts w:hint="eastAsia" w:ascii="仿宋" w:hAnsi="仿宋" w:eastAsia="仿宋" w:cs="宋体"/>
                <w:kern w:val="0"/>
                <w:sz w:val="24"/>
                <w:lang w:bidi="ar"/>
              </w:rPr>
            </w:pPr>
          </w:p>
        </w:tc>
      </w:tr>
      <w:tr w14:paraId="0283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27" w:type="dxa"/>
            <w:vMerge w:val="continue"/>
            <w:vAlign w:val="center"/>
          </w:tcPr>
          <w:p w14:paraId="47798A49">
            <w:pPr>
              <w:widowControl/>
              <w:jc w:val="center"/>
              <w:textAlignment w:val="center"/>
              <w:rPr>
                <w:rFonts w:hint="eastAsia" w:ascii="仿宋" w:hAnsi="仿宋" w:eastAsia="仿宋" w:cs="宋体"/>
                <w:sz w:val="24"/>
                <w:lang w:bidi="ar"/>
              </w:rPr>
            </w:pPr>
          </w:p>
        </w:tc>
        <w:tc>
          <w:tcPr>
            <w:tcW w:w="829" w:type="dxa"/>
            <w:vMerge w:val="continue"/>
            <w:vAlign w:val="center"/>
          </w:tcPr>
          <w:p w14:paraId="464AF326">
            <w:pPr>
              <w:widowControl/>
              <w:jc w:val="center"/>
              <w:textAlignment w:val="center"/>
              <w:rPr>
                <w:rFonts w:hint="default" w:ascii="仿宋" w:hAnsi="仿宋" w:eastAsia="仿宋" w:cs="宋体"/>
                <w:sz w:val="24"/>
                <w:lang w:val="en-US" w:eastAsia="zh-CN" w:bidi="ar"/>
              </w:rPr>
            </w:pPr>
          </w:p>
        </w:tc>
        <w:tc>
          <w:tcPr>
            <w:tcW w:w="3869" w:type="dxa"/>
          </w:tcPr>
          <w:p w14:paraId="1FE416DA">
            <w:pPr>
              <w:widowControl/>
              <w:textAlignment w:val="center"/>
              <w:rPr>
                <w:rFonts w:hint="eastAsia" w:ascii="仿宋" w:hAnsi="仿宋" w:eastAsia="仿宋" w:cs="宋体"/>
                <w:sz w:val="24"/>
                <w:lang w:bidi="ar"/>
              </w:rPr>
            </w:pPr>
            <w:r>
              <w:rPr>
                <w:rFonts w:hint="eastAsia" w:ascii="仿宋" w:hAnsi="仿宋" w:eastAsia="仿宋" w:cs="宋体"/>
                <w:sz w:val="24"/>
                <w:lang w:bidi="ar"/>
              </w:rPr>
              <w:t>根据投标人针对本项目提供的售后服务方案，包括售后服务期限、技术支持、技术服务、力量配备、响应时间等，</w:t>
            </w:r>
            <w:r>
              <w:rPr>
                <w:rFonts w:hint="eastAsia" w:ascii="仿宋" w:hAnsi="仿宋" w:eastAsia="仿宋" w:cs="宋体"/>
                <w:sz w:val="24"/>
              </w:rPr>
              <w:t>最优的得标准分，其余依次递减</w:t>
            </w:r>
            <w:r>
              <w:rPr>
                <w:rFonts w:hint="eastAsia" w:ascii="仿宋" w:hAnsi="仿宋" w:eastAsia="仿宋" w:cs="宋体"/>
                <w:sz w:val="24"/>
                <w:lang w:val="en-US" w:eastAsia="zh-CN"/>
              </w:rPr>
              <w:t>2</w:t>
            </w:r>
            <w:r>
              <w:rPr>
                <w:rFonts w:hint="eastAsia" w:ascii="仿宋" w:hAnsi="仿宋" w:eastAsia="仿宋" w:cs="宋体"/>
                <w:sz w:val="24"/>
              </w:rPr>
              <w:t>分，直至0分。</w:t>
            </w:r>
          </w:p>
        </w:tc>
        <w:tc>
          <w:tcPr>
            <w:tcW w:w="604" w:type="dxa"/>
            <w:vAlign w:val="center"/>
          </w:tcPr>
          <w:p w14:paraId="57F1B445">
            <w:pPr>
              <w:widowControl/>
              <w:jc w:val="center"/>
              <w:textAlignment w:val="center"/>
              <w:rPr>
                <w:rFonts w:hint="default" w:ascii="仿宋" w:hAnsi="仿宋" w:eastAsia="仿宋" w:cs="宋体"/>
                <w:sz w:val="24"/>
                <w:lang w:val="en-US" w:eastAsia="zh-CN" w:bidi="ar"/>
              </w:rPr>
            </w:pPr>
            <w:r>
              <w:rPr>
                <w:rFonts w:hint="eastAsia" w:ascii="仿宋" w:hAnsi="仿宋" w:eastAsia="仿宋" w:cs="宋体"/>
                <w:sz w:val="24"/>
                <w:lang w:val="en-US" w:eastAsia="zh-CN" w:bidi="ar"/>
              </w:rPr>
              <w:t>10</w:t>
            </w:r>
          </w:p>
        </w:tc>
        <w:tc>
          <w:tcPr>
            <w:tcW w:w="2648" w:type="dxa"/>
          </w:tcPr>
          <w:p w14:paraId="0AC618A6">
            <w:pPr>
              <w:jc w:val="center"/>
              <w:rPr>
                <w:rFonts w:hint="eastAsia" w:ascii="仿宋" w:hAnsi="仿宋" w:eastAsia="仿宋" w:cs="宋体"/>
                <w:sz w:val="24"/>
              </w:rPr>
            </w:pPr>
          </w:p>
        </w:tc>
      </w:tr>
      <w:tr w14:paraId="7F1B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477" w:type="dxa"/>
            <w:gridSpan w:val="5"/>
            <w:vAlign w:val="center"/>
          </w:tcPr>
          <w:p w14:paraId="6829DF69">
            <w:pPr>
              <w:widowControl/>
              <w:textAlignment w:val="center"/>
              <w:rPr>
                <w:rFonts w:hint="eastAsia" w:ascii="仿宋" w:hAnsi="仿宋" w:eastAsia="仿宋" w:cs="宋体"/>
                <w:sz w:val="24"/>
                <w:lang w:bidi="ar"/>
              </w:rPr>
            </w:pPr>
            <w:r>
              <w:rPr>
                <w:rFonts w:hint="eastAsia" w:ascii="仿宋" w:hAnsi="仿宋" w:eastAsia="仿宋" w:cs="宋体"/>
                <w:sz w:val="24"/>
                <w:lang w:bidi="ar"/>
              </w:rPr>
              <w:t>说明：</w:t>
            </w:r>
          </w:p>
          <w:p w14:paraId="1C0E76C3">
            <w:pPr>
              <w:widowControl/>
              <w:textAlignment w:val="center"/>
              <w:rPr>
                <w:rFonts w:hint="eastAsia" w:ascii="仿宋" w:hAnsi="仿宋" w:eastAsia="仿宋" w:cs="宋体"/>
                <w:sz w:val="24"/>
              </w:rPr>
            </w:pPr>
            <w:r>
              <w:rPr>
                <w:rFonts w:hint="eastAsia" w:ascii="仿宋" w:hAnsi="仿宋" w:eastAsia="仿宋" w:cs="宋体"/>
                <w:sz w:val="24"/>
                <w:lang w:bidi="ar"/>
              </w:rPr>
              <w:t>1.方案等主观评分项。评委会先按照评分标准明确的内容列出评审要点，再根据投标人投标文件中填报的图片、数据、文字资料等满足要点情况，确定企业的排名，并在备注栏说明排名依据。</w:t>
            </w:r>
          </w:p>
        </w:tc>
      </w:tr>
    </w:tbl>
    <w:p w14:paraId="4E07A777"/>
    <w:p w14:paraId="3C4CAAC6">
      <w:pPr>
        <w:pStyle w:val="2"/>
      </w:pPr>
    </w:p>
    <w:p w14:paraId="4394CC9B">
      <w:pPr>
        <w:pStyle w:val="2"/>
      </w:pPr>
    </w:p>
    <w:p w14:paraId="0C8338C3">
      <w:pPr>
        <w:pStyle w:val="2"/>
      </w:pPr>
    </w:p>
    <w:p w14:paraId="3AFB09B4"/>
    <w:p w14:paraId="328E1C65">
      <w:pPr>
        <w:pStyle w:val="2"/>
        <w:rPr>
          <w:rFonts w:hint="eastAsia" w:asciiTheme="minorEastAsia" w:hAnsiTheme="minorEastAsia" w:eastAsiaTheme="minorEastAsia" w:cstheme="minorEastAsia"/>
          <w:sz w:val="24"/>
          <w:szCs w:val="24"/>
        </w:rPr>
      </w:pPr>
    </w:p>
    <w:p w14:paraId="6F749C7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523E1D-0061-4696-830B-5A7A4AE8F9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embedRegular r:id="rId2" w:fontKey="{DC63E4CE-0F3C-4ADE-8F77-7AA618D06232}"/>
  </w:font>
  <w:font w:name="仿宋">
    <w:panose1 w:val="02010609060101010101"/>
    <w:charset w:val="86"/>
    <w:family w:val="modern"/>
    <w:pitch w:val="default"/>
    <w:sig w:usb0="800002BF" w:usb1="38CF7CFA" w:usb2="00000016" w:usb3="00000000" w:csb0="00040001" w:csb1="00000000"/>
    <w:embedRegular r:id="rId3" w:fontKey="{102A97A5-0B3A-4AF7-B231-CF56EB593C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23094"/>
    <w:multiLevelType w:val="singleLevel"/>
    <w:tmpl w:val="86423094"/>
    <w:lvl w:ilvl="0" w:tentative="0">
      <w:start w:val="1"/>
      <w:numFmt w:val="decimalEnclosedCircleChinese"/>
      <w:suff w:val="nothing"/>
      <w:lvlText w:val="%1　"/>
      <w:lvlJc w:val="left"/>
      <w:pPr>
        <w:ind w:left="0" w:firstLine="400"/>
      </w:pPr>
      <w:rPr>
        <w:rFonts w:hint="eastAsia"/>
      </w:rPr>
    </w:lvl>
  </w:abstractNum>
  <w:abstractNum w:abstractNumId="1">
    <w:nsid w:val="E7F5F734"/>
    <w:multiLevelType w:val="singleLevel"/>
    <w:tmpl w:val="E7F5F734"/>
    <w:lvl w:ilvl="0" w:tentative="0">
      <w:start w:val="1"/>
      <w:numFmt w:val="decimalEnclosedCircleChinese"/>
      <w:suff w:val="nothing"/>
      <w:lvlText w:val="%1　"/>
      <w:lvlJc w:val="left"/>
      <w:pPr>
        <w:ind w:left="0" w:firstLine="400"/>
      </w:pPr>
      <w:rPr>
        <w:rFonts w:hint="eastAsia"/>
      </w:rPr>
    </w:lvl>
  </w:abstractNum>
  <w:abstractNum w:abstractNumId="2">
    <w:nsid w:val="EBF862EC"/>
    <w:multiLevelType w:val="singleLevel"/>
    <w:tmpl w:val="EBF862EC"/>
    <w:lvl w:ilvl="0" w:tentative="0">
      <w:start w:val="1"/>
      <w:numFmt w:val="decimalEnclosedCircleChinese"/>
      <w:suff w:val="nothing"/>
      <w:lvlText w:val="%1　"/>
      <w:lvlJc w:val="left"/>
      <w:pPr>
        <w:ind w:left="0" w:firstLine="400"/>
      </w:pPr>
      <w:rPr>
        <w:rFonts w:hint="eastAsia"/>
      </w:rPr>
    </w:lvl>
  </w:abstractNum>
  <w:abstractNum w:abstractNumId="3">
    <w:nsid w:val="EC2A8FF8"/>
    <w:multiLevelType w:val="singleLevel"/>
    <w:tmpl w:val="EC2A8FF8"/>
    <w:lvl w:ilvl="0" w:tentative="0">
      <w:start w:val="1"/>
      <w:numFmt w:val="decimalEnclosedCircleChinese"/>
      <w:suff w:val="nothing"/>
      <w:lvlText w:val="%1　"/>
      <w:lvlJc w:val="left"/>
      <w:pPr>
        <w:ind w:left="0" w:firstLine="400"/>
      </w:pPr>
      <w:rPr>
        <w:rFonts w:hint="eastAsia"/>
      </w:rPr>
    </w:lvl>
  </w:abstractNum>
  <w:abstractNum w:abstractNumId="4">
    <w:nsid w:val="EE025055"/>
    <w:multiLevelType w:val="singleLevel"/>
    <w:tmpl w:val="EE025055"/>
    <w:lvl w:ilvl="0" w:tentative="0">
      <w:start w:val="1"/>
      <w:numFmt w:val="decimalEnclosedCircleChinese"/>
      <w:suff w:val="nothing"/>
      <w:lvlText w:val="%1　"/>
      <w:lvlJc w:val="left"/>
      <w:pPr>
        <w:ind w:left="0" w:firstLine="400"/>
      </w:pPr>
      <w:rPr>
        <w:rFonts w:hint="eastAsia"/>
      </w:rPr>
    </w:lvl>
  </w:abstractNum>
  <w:abstractNum w:abstractNumId="5">
    <w:nsid w:val="6726FF09"/>
    <w:multiLevelType w:val="singleLevel"/>
    <w:tmpl w:val="6726FF09"/>
    <w:lvl w:ilvl="0" w:tentative="0">
      <w:start w:val="1"/>
      <w:numFmt w:val="decimalEnclosedCircleChinese"/>
      <w:suff w:val="nothing"/>
      <w:lvlText w:val="%1　"/>
      <w:lvlJc w:val="left"/>
      <w:pPr>
        <w:ind w:left="0" w:firstLine="400"/>
      </w:pPr>
      <w:rPr>
        <w:rFonts w:hint="eastAsia"/>
      </w:rPr>
    </w:lvl>
  </w:abstractNum>
  <w:abstractNum w:abstractNumId="6">
    <w:nsid w:val="6E1345DF"/>
    <w:multiLevelType w:val="singleLevel"/>
    <w:tmpl w:val="6E1345DF"/>
    <w:lvl w:ilvl="0" w:tentative="0">
      <w:start w:val="1"/>
      <w:numFmt w:val="decimalEnclosedCircleChinese"/>
      <w:suff w:val="nothing"/>
      <w:lvlText w:val="%1　"/>
      <w:lvlJc w:val="left"/>
      <w:pPr>
        <w:ind w:left="0" w:firstLine="400"/>
      </w:pPr>
      <w:rPr>
        <w:rFonts w:hint="eastAsia"/>
      </w:rPr>
    </w:lvl>
  </w:abstractNum>
  <w:abstractNum w:abstractNumId="7">
    <w:nsid w:val="6E96763C"/>
    <w:multiLevelType w:val="singleLevel"/>
    <w:tmpl w:val="6E96763C"/>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2"/>
  </w:num>
  <w:num w:numId="3">
    <w:abstractNumId w:val="3"/>
  </w:num>
  <w:num w:numId="4">
    <w:abstractNumId w:val="7"/>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94C77"/>
    <w:rsid w:val="000A7BE7"/>
    <w:rsid w:val="00102EA8"/>
    <w:rsid w:val="001E1A29"/>
    <w:rsid w:val="001E3035"/>
    <w:rsid w:val="00240F17"/>
    <w:rsid w:val="00620926"/>
    <w:rsid w:val="006706A3"/>
    <w:rsid w:val="007F60F3"/>
    <w:rsid w:val="009E02EC"/>
    <w:rsid w:val="00AE5383"/>
    <w:rsid w:val="00C635F0"/>
    <w:rsid w:val="00DF3F55"/>
    <w:rsid w:val="01C56903"/>
    <w:rsid w:val="05CA182B"/>
    <w:rsid w:val="17D47448"/>
    <w:rsid w:val="1B085561"/>
    <w:rsid w:val="1C9D0939"/>
    <w:rsid w:val="1D5B0C5C"/>
    <w:rsid w:val="1DA358F3"/>
    <w:rsid w:val="1EBC2329"/>
    <w:rsid w:val="206C6470"/>
    <w:rsid w:val="21613890"/>
    <w:rsid w:val="23AF676C"/>
    <w:rsid w:val="28D9666D"/>
    <w:rsid w:val="29794C77"/>
    <w:rsid w:val="2A2B114A"/>
    <w:rsid w:val="3CD1693E"/>
    <w:rsid w:val="3DF768F8"/>
    <w:rsid w:val="40955117"/>
    <w:rsid w:val="44185E43"/>
    <w:rsid w:val="4CF3569F"/>
    <w:rsid w:val="57F10098"/>
    <w:rsid w:val="5B8B629B"/>
    <w:rsid w:val="5DBC7D2D"/>
    <w:rsid w:val="612E6F74"/>
    <w:rsid w:val="65AD68DC"/>
    <w:rsid w:val="68116E94"/>
    <w:rsid w:val="6C165D0F"/>
    <w:rsid w:val="6CA1081C"/>
    <w:rsid w:val="6ED079BA"/>
    <w:rsid w:val="79002D6F"/>
    <w:rsid w:val="79096151"/>
    <w:rsid w:val="7FD1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outlineLvl w:val="0"/>
    </w:pPr>
    <w:rPr>
      <w:b/>
      <w:bCs/>
      <w:sz w:val="32"/>
      <w:szCs w:val="28"/>
    </w:rPr>
  </w:style>
  <w:style w:type="paragraph" w:styleId="4">
    <w:name w:val="heading 3"/>
    <w:basedOn w:val="1"/>
    <w:next w:val="1"/>
    <w:qFormat/>
    <w:uiPriority w:val="0"/>
    <w:pPr>
      <w:keepNext/>
      <w:keepLines/>
      <w:spacing w:before="260" w:after="260" w:line="415" w:lineRule="auto"/>
      <w:ind w:firstLine="200" w:firstLineChars="200"/>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99"/>
    <w:pPr>
      <w:spacing w:line="480" w:lineRule="auto"/>
    </w:pPr>
    <w:rPr>
      <w:rFonts w:ascii="Calibri" w:hAnsi="Calibri"/>
      <w:sz w:val="20"/>
      <w:szCs w:val="22"/>
    </w:rPr>
  </w:style>
  <w:style w:type="paragraph" w:styleId="5">
    <w:name w:val="annotation text"/>
    <w:basedOn w:val="1"/>
    <w:link w:val="22"/>
    <w:qFormat/>
    <w:uiPriority w:val="0"/>
    <w:pPr>
      <w:jc w:val="left"/>
    </w:pPr>
  </w:style>
  <w:style w:type="paragraph" w:styleId="6">
    <w:name w:val="Body Text"/>
    <w:basedOn w:val="1"/>
    <w:qFormat/>
    <w:uiPriority w:val="0"/>
    <w:pPr>
      <w:spacing w:after="120"/>
    </w:pPr>
  </w:style>
  <w:style w:type="paragraph" w:styleId="7">
    <w:name w:val="Balloon Text"/>
    <w:basedOn w:val="1"/>
    <w:link w:val="24"/>
    <w:qFormat/>
    <w:uiPriority w:val="0"/>
    <w:rPr>
      <w:sz w:val="18"/>
      <w:szCs w:val="18"/>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5"/>
    <w:next w:val="5"/>
    <w:link w:val="23"/>
    <w:qFormat/>
    <w:uiPriority w:val="0"/>
    <w:rPr>
      <w:b/>
      <w:bCs/>
    </w:rPr>
  </w:style>
  <w:style w:type="paragraph" w:styleId="12">
    <w:name w:val="Body Text First Indent"/>
    <w:basedOn w:val="6"/>
    <w:qFormat/>
    <w:uiPriority w:val="99"/>
    <w:pPr>
      <w:ind w:firstLine="420" w:firstLineChars="100"/>
    </w:pPr>
    <w:rPr>
      <w:color w:val="000000"/>
      <w:lang w:val="en-GB"/>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列出段落1"/>
    <w:basedOn w:val="1"/>
    <w:qFormat/>
    <w:uiPriority w:val="0"/>
    <w:pPr>
      <w:ind w:firstLine="420" w:firstLineChars="200"/>
    </w:pPr>
    <w:rPr>
      <w:kern w:val="0"/>
      <w:sz w:val="24"/>
    </w:rPr>
  </w:style>
  <w:style w:type="paragraph" w:customStyle="1" w:styleId="18">
    <w:name w:val="_Style 24"/>
    <w:basedOn w:val="1"/>
    <w:qFormat/>
    <w:uiPriority w:val="34"/>
    <w:pPr>
      <w:ind w:firstLine="420" w:firstLineChars="200"/>
    </w:pPr>
    <w:rPr>
      <w:rFonts w:ascii="Calibri" w:hAnsi="Calibri"/>
      <w:szCs w:val="22"/>
    </w:rPr>
  </w:style>
  <w:style w:type="paragraph" w:styleId="19">
    <w:name w:val="List Paragraph"/>
    <w:basedOn w:val="1"/>
    <w:qFormat/>
    <w:uiPriority w:val="34"/>
    <w:pPr>
      <w:ind w:firstLine="420" w:firstLineChars="200"/>
    </w:pPr>
  </w:style>
  <w:style w:type="character" w:customStyle="1" w:styleId="20">
    <w:name w:val="font11"/>
    <w:qFormat/>
    <w:uiPriority w:val="0"/>
    <w:rPr>
      <w:rFonts w:hint="eastAsia" w:ascii="宋体" w:hAnsi="宋体" w:eastAsia="宋体" w:cs="宋体"/>
      <w:color w:val="000000"/>
      <w:sz w:val="24"/>
      <w:szCs w:val="24"/>
      <w:u w:val="none"/>
    </w:rPr>
  </w:style>
  <w:style w:type="paragraph" w:customStyle="1" w:styleId="21">
    <w:name w:val="Table Paragraph"/>
    <w:basedOn w:val="1"/>
    <w:qFormat/>
    <w:uiPriority w:val="1"/>
    <w:pPr>
      <w:autoSpaceDE w:val="0"/>
      <w:autoSpaceDN w:val="0"/>
      <w:adjustRightInd w:val="0"/>
      <w:jc w:val="left"/>
    </w:pPr>
    <w:rPr>
      <w:rFonts w:ascii="宋体" w:cs="宋体"/>
      <w:kern w:val="0"/>
      <w:sz w:val="24"/>
    </w:rPr>
  </w:style>
  <w:style w:type="character" w:customStyle="1" w:styleId="22">
    <w:name w:val="批注文字 字符"/>
    <w:basedOn w:val="14"/>
    <w:link w:val="5"/>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 w:type="character" w:customStyle="1" w:styleId="24">
    <w:name w:val="批注框文本 字符"/>
    <w:basedOn w:val="14"/>
    <w:link w:val="7"/>
    <w:qFormat/>
    <w:uiPriority w:val="0"/>
    <w:rPr>
      <w:rFonts w:ascii="Times New Roman" w:hAnsi="Times New Roman" w:eastAsia="宋体" w:cs="Times New Roman"/>
      <w:kern w:val="2"/>
      <w:sz w:val="18"/>
      <w:szCs w:val="18"/>
    </w:rPr>
  </w:style>
  <w:style w:type="character" w:customStyle="1" w:styleId="25">
    <w:name w:val="页眉 字符"/>
    <w:basedOn w:val="14"/>
    <w:link w:val="9"/>
    <w:qFormat/>
    <w:uiPriority w:val="0"/>
    <w:rPr>
      <w:rFonts w:ascii="Times New Roman" w:hAnsi="Times New Roman" w:eastAsia="宋体" w:cs="Times New Roman"/>
      <w:kern w:val="2"/>
      <w:sz w:val="18"/>
      <w:szCs w:val="18"/>
    </w:rPr>
  </w:style>
  <w:style w:type="character" w:customStyle="1" w:styleId="26">
    <w:name w:val="页脚 字符"/>
    <w:basedOn w:val="14"/>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3518</Words>
  <Characters>3743</Characters>
  <Lines>170</Lines>
  <Paragraphs>159</Paragraphs>
  <TotalTime>4</TotalTime>
  <ScaleCrop>false</ScaleCrop>
  <LinksUpToDate>false</LinksUpToDate>
  <CharactersWithSpaces>3763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2025-09-27T22:41:00Z</dcterms:created>
  <dc:creator>zdqdfmd@163.com</dc:creator>
  <cp:lastModifiedBy>Xia Wu</cp:lastModifiedBy>
  <dcterms:modified xsi:type="dcterms:W3CDTF">2025-10-21T02:25:49Z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415EA1436BA84BAD9EB7645B07D464F9_11</vt:lpwstr>
  </property>
  <property fmtid="{D5CDD505-2E9C-101B-9397-08002B2CF9AE}" pid="4" name="KSOTemplateDocerSaveRecord">
    <vt:lpwstr>eyJoZGlkIjoiMjEzMmIzMzRhNzVmNDVjZTA4YzdjN2ZjNWU4YTRiMGUiLCJ1c2VySWQiOiIxMTU2OTg0OTM2In0=</vt:lpwstr>
  </property>
</Properties>
</file>