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021C">
      <w:pPr>
        <w:pageBreakBefore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 报价</w:t>
      </w:r>
      <w:r>
        <w:rPr>
          <w:rFonts w:hint="eastAsia"/>
          <w:sz w:val="28"/>
        </w:rPr>
        <w:t>一览表</w:t>
      </w:r>
      <w:r>
        <w:rPr>
          <w:sz w:val="28"/>
        </w:rPr>
        <w:t>格式</w:t>
      </w:r>
    </w:p>
    <w:p w14:paraId="6A0E9B99">
      <w:pPr>
        <w:ind w:firstLine="723" w:firstLineChars="200"/>
        <w:jc w:val="center"/>
        <w:rPr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4D743BF6">
      <w:pPr>
        <w:jc w:val="left"/>
        <w:rPr>
          <w:sz w:val="28"/>
        </w:rPr>
      </w:pPr>
      <w:r>
        <w:rPr>
          <w:b/>
          <w:sz w:val="28"/>
        </w:rPr>
        <w:t>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>中国水利水电科学研究院</w:t>
      </w:r>
      <w:r>
        <w:rPr>
          <w:rFonts w:hint="eastAsia"/>
          <w:sz w:val="28"/>
        </w:rPr>
        <w:t>：</w:t>
      </w:r>
    </w:p>
    <w:p w14:paraId="7F2D1E1C">
      <w:pPr>
        <w:ind w:firstLine="560" w:firstLineChars="200"/>
        <w:jc w:val="left"/>
        <w:rPr>
          <w:sz w:val="28"/>
        </w:rPr>
      </w:pPr>
      <w:r>
        <w:rPr>
          <w:sz w:val="28"/>
        </w:rPr>
        <w:t>在研究了询价文件所有文件后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方</w:t>
      </w:r>
      <w:r>
        <w:rPr>
          <w:sz w:val="28"/>
        </w:rPr>
        <w:t>对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融合改造工程建设条件及方案比选分析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项目询价响应报价如下</w:t>
      </w:r>
      <w:r>
        <w:rPr>
          <w:rFonts w:hint="eastAsia"/>
          <w:sz w:val="28"/>
        </w:rPr>
        <w:t>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01"/>
        <w:gridCol w:w="851"/>
        <w:gridCol w:w="1133"/>
        <w:gridCol w:w="851"/>
        <w:gridCol w:w="1213"/>
      </w:tblGrid>
      <w:tr w14:paraId="6F60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 w14:paraId="00E91EE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0A5301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2D6B4C7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0861D6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2C6AE2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1B88EF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14:paraId="418F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7" w:type="dxa"/>
            <w:vAlign w:val="center"/>
          </w:tcPr>
          <w:p w14:paraId="5D8335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401" w:type="dxa"/>
            <w:vAlign w:val="center"/>
          </w:tcPr>
          <w:p w14:paraId="0D96A950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EA0C05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8DC113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4D8DD01C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5475AD8B">
            <w:pPr>
              <w:jc w:val="center"/>
              <w:rPr>
                <w:sz w:val="28"/>
              </w:rPr>
            </w:pPr>
          </w:p>
        </w:tc>
      </w:tr>
      <w:tr w14:paraId="2699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7" w:type="dxa"/>
            <w:vAlign w:val="center"/>
          </w:tcPr>
          <w:p w14:paraId="3BF40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1C95EF1C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02BE7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6752BFE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C9858AE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2B8EF6A9">
            <w:pPr>
              <w:jc w:val="center"/>
              <w:rPr>
                <w:sz w:val="28"/>
              </w:rPr>
            </w:pPr>
          </w:p>
        </w:tc>
      </w:tr>
      <w:tr w14:paraId="0C17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47" w:type="dxa"/>
            <w:vAlign w:val="center"/>
          </w:tcPr>
          <w:p w14:paraId="687CF1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401" w:type="dxa"/>
            <w:vAlign w:val="center"/>
          </w:tcPr>
          <w:p w14:paraId="1C3B504A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83DD6F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FD2A7C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F7BE09F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E6537B5">
            <w:pPr>
              <w:jc w:val="center"/>
              <w:rPr>
                <w:sz w:val="28"/>
              </w:rPr>
            </w:pPr>
          </w:p>
        </w:tc>
      </w:tr>
      <w:tr w14:paraId="767C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47" w:type="dxa"/>
            <w:vAlign w:val="center"/>
          </w:tcPr>
          <w:p w14:paraId="5A36B8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0040CB2F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BF7D79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5D3D7C0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CBDE14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1A136E53">
            <w:pPr>
              <w:jc w:val="center"/>
              <w:rPr>
                <w:sz w:val="28"/>
              </w:rPr>
            </w:pPr>
          </w:p>
        </w:tc>
      </w:tr>
    </w:tbl>
    <w:p w14:paraId="6CB44349">
      <w:pPr>
        <w:jc w:val="left"/>
        <w:rPr>
          <w:sz w:val="28"/>
        </w:rPr>
      </w:pPr>
    </w:p>
    <w:p w14:paraId="5A862B53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6838E6E4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69FEAD90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          </w:t>
      </w:r>
    </w:p>
    <w:p w14:paraId="23030D30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5412"/>
    <w:rsid w:val="0A3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2025-10-13T03:47:00Z</dcterms:created>
  <dc:creator>tianchang</dc:creator>
  <cp:lastModifiedBy>tianchang</cp:lastModifiedBy>
  <dcterms:modified xsi:type="dcterms:W3CDTF">2025-10-13T03:50:52Z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51A4AED6DE804EFF9C5AEC78A1EC5891_11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